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36" w:rsidRPr="005E32C6" w:rsidRDefault="00AB0836" w:rsidP="00E75B0C">
      <w:pPr>
        <w:spacing w:line="240" w:lineRule="auto"/>
        <w:ind w:right="566" w:firstLine="1134"/>
        <w:jc w:val="center"/>
        <w:rPr>
          <w:rFonts w:ascii="Verdana" w:hAnsi="Verdana"/>
          <w:b/>
          <w:sz w:val="18"/>
          <w:szCs w:val="18"/>
        </w:rPr>
      </w:pPr>
      <w:r w:rsidRPr="00E75B0C">
        <w:rPr>
          <w:rFonts w:ascii="Verdana" w:hAnsi="Verdana"/>
          <w:b/>
          <w:sz w:val="18"/>
          <w:szCs w:val="18"/>
        </w:rPr>
        <w:t xml:space="preserve">Το βάρος των φόρων ακινήτων (και </w:t>
      </w:r>
      <w:r w:rsidR="009D7D54" w:rsidRPr="00E75B0C">
        <w:rPr>
          <w:rFonts w:ascii="Verdana" w:hAnsi="Verdana"/>
          <w:b/>
          <w:sz w:val="18"/>
          <w:szCs w:val="18"/>
        </w:rPr>
        <w:t>κυρίως</w:t>
      </w:r>
      <w:r w:rsidRPr="00E75B0C">
        <w:rPr>
          <w:rFonts w:ascii="Verdana" w:hAnsi="Verdana"/>
          <w:b/>
          <w:sz w:val="18"/>
          <w:szCs w:val="18"/>
        </w:rPr>
        <w:t xml:space="preserve"> φόρων κατοχής) σε Ελλάδα και </w:t>
      </w:r>
      <w:r w:rsidR="00DB0BD2" w:rsidRPr="00E75B0C">
        <w:rPr>
          <w:rFonts w:ascii="Verdana" w:hAnsi="Verdana"/>
          <w:b/>
          <w:sz w:val="18"/>
          <w:szCs w:val="18"/>
        </w:rPr>
        <w:t>ορισμένες</w:t>
      </w:r>
      <w:r w:rsidR="00E75B0C">
        <w:rPr>
          <w:rFonts w:ascii="Verdana" w:hAnsi="Verdana"/>
          <w:b/>
          <w:sz w:val="18"/>
          <w:szCs w:val="18"/>
        </w:rPr>
        <w:t xml:space="preserve"> άλλες χώρες</w:t>
      </w:r>
    </w:p>
    <w:p w:rsidR="00360CD1" w:rsidRPr="00E75B0C" w:rsidRDefault="00AB0836" w:rsidP="000A01AA">
      <w:pPr>
        <w:spacing w:line="240" w:lineRule="auto"/>
        <w:jc w:val="center"/>
        <w:rPr>
          <w:rFonts w:ascii="Verdana" w:hAnsi="Verdana"/>
          <w:b/>
          <w:sz w:val="18"/>
          <w:szCs w:val="18"/>
        </w:rPr>
      </w:pPr>
      <w:r w:rsidRPr="00E75B0C">
        <w:rPr>
          <w:rFonts w:ascii="Verdana" w:hAnsi="Verdana"/>
          <w:b/>
          <w:sz w:val="18"/>
          <w:szCs w:val="18"/>
        </w:rPr>
        <w:t>Φορολόγηση ακινήτων σε Γαλλία – Γερμανία – Ην. Βασίλειο</w:t>
      </w:r>
    </w:p>
    <w:p w:rsidR="00AB0836" w:rsidRPr="00E75B0C" w:rsidRDefault="00AB0836">
      <w:pPr>
        <w:rPr>
          <w:rFonts w:ascii="Verdana" w:hAnsi="Verdana"/>
          <w:sz w:val="18"/>
          <w:szCs w:val="18"/>
        </w:rPr>
      </w:pPr>
    </w:p>
    <w:p w:rsidR="00AB0836" w:rsidRPr="00E75B0C" w:rsidRDefault="00AB0836">
      <w:pPr>
        <w:rPr>
          <w:rFonts w:ascii="Verdana" w:hAnsi="Verdana"/>
          <w:i/>
          <w:sz w:val="18"/>
          <w:szCs w:val="18"/>
          <w:u w:val="single"/>
        </w:rPr>
      </w:pPr>
      <w:r w:rsidRPr="00E75B0C">
        <w:rPr>
          <w:rFonts w:ascii="Verdana" w:hAnsi="Verdana"/>
          <w:i/>
          <w:sz w:val="18"/>
          <w:szCs w:val="18"/>
          <w:u w:val="single"/>
        </w:rPr>
        <w:t>Περίληψη</w:t>
      </w:r>
    </w:p>
    <w:p w:rsidR="00AB0836" w:rsidRPr="00E75B0C" w:rsidRDefault="00AB0836">
      <w:pPr>
        <w:rPr>
          <w:rFonts w:ascii="Verdana" w:hAnsi="Verdana"/>
          <w:sz w:val="18"/>
          <w:szCs w:val="18"/>
        </w:rPr>
      </w:pPr>
    </w:p>
    <w:p w:rsidR="00AB0836" w:rsidRPr="00E75B0C" w:rsidRDefault="00AB0836" w:rsidP="00AB0836">
      <w:pPr>
        <w:pStyle w:val="a3"/>
        <w:numPr>
          <w:ilvl w:val="0"/>
          <w:numId w:val="5"/>
        </w:numPr>
        <w:rPr>
          <w:rFonts w:ascii="Verdana" w:hAnsi="Verdana"/>
          <w:sz w:val="18"/>
          <w:szCs w:val="18"/>
        </w:rPr>
      </w:pPr>
      <w:r w:rsidRPr="00E75B0C">
        <w:rPr>
          <w:rFonts w:ascii="Verdana" w:hAnsi="Verdana"/>
          <w:sz w:val="18"/>
          <w:szCs w:val="18"/>
        </w:rPr>
        <w:t>Η παρούσα είναι μία συγκριτική μελέτη του βάρους κυρίως των φόρων κατοχής ακινήτων σε Ελλάδα και μία σειρά άλλες ανεπτυγμένες (Δυτικές) χώρες.</w:t>
      </w:r>
    </w:p>
    <w:p w:rsidR="00AB0836" w:rsidRPr="00E75B0C" w:rsidRDefault="00AB0836" w:rsidP="00AB0836">
      <w:pPr>
        <w:pStyle w:val="a3"/>
        <w:numPr>
          <w:ilvl w:val="0"/>
          <w:numId w:val="5"/>
        </w:numPr>
        <w:rPr>
          <w:rFonts w:ascii="Verdana" w:hAnsi="Verdana"/>
          <w:sz w:val="18"/>
          <w:szCs w:val="18"/>
        </w:rPr>
      </w:pPr>
      <w:r w:rsidRPr="00E75B0C">
        <w:rPr>
          <w:rFonts w:ascii="Verdana" w:hAnsi="Verdana"/>
          <w:sz w:val="18"/>
          <w:szCs w:val="18"/>
        </w:rPr>
        <w:t xml:space="preserve">Παράλληλα παρουσιάζεται, εν συντομία, η δομή των φόρων </w:t>
      </w:r>
      <w:r w:rsidR="00B672FE" w:rsidRPr="00E75B0C">
        <w:rPr>
          <w:rFonts w:ascii="Verdana" w:hAnsi="Verdana"/>
          <w:sz w:val="18"/>
          <w:szCs w:val="18"/>
        </w:rPr>
        <w:t>μεταβίβασης</w:t>
      </w:r>
      <w:r w:rsidRPr="00E75B0C">
        <w:rPr>
          <w:rFonts w:ascii="Verdana" w:hAnsi="Verdana"/>
          <w:sz w:val="18"/>
          <w:szCs w:val="18"/>
        </w:rPr>
        <w:t xml:space="preserve"> (όχι όμως κληρονομίας ή γονικής παροχής), των φόρων κατοχής, των φόρων περιουσίας, των φόρων υπεραξίας (όχι όμως των φόρων επί εισοδημάτων από ακίνητα) σε Γαλλία, Γερμανία, Ην. Βασίλειο.</w:t>
      </w:r>
    </w:p>
    <w:p w:rsidR="00AB0836" w:rsidRPr="00E75B0C" w:rsidRDefault="00AB0836" w:rsidP="00AB0836">
      <w:pPr>
        <w:pStyle w:val="a3"/>
        <w:numPr>
          <w:ilvl w:val="0"/>
          <w:numId w:val="5"/>
        </w:numPr>
        <w:rPr>
          <w:rFonts w:ascii="Verdana" w:hAnsi="Verdana"/>
          <w:sz w:val="18"/>
          <w:szCs w:val="18"/>
        </w:rPr>
      </w:pPr>
      <w:r w:rsidRPr="00E75B0C">
        <w:rPr>
          <w:rFonts w:ascii="Verdana" w:hAnsi="Verdana"/>
          <w:sz w:val="18"/>
          <w:szCs w:val="18"/>
        </w:rPr>
        <w:t>Βάσει τριών διαφορετικών προσεγγίσεων προκύπτει πως το μεγαλύτε</w:t>
      </w:r>
      <w:r w:rsidR="00786119" w:rsidRPr="00E75B0C">
        <w:rPr>
          <w:rFonts w:ascii="Verdana" w:hAnsi="Verdana"/>
          <w:sz w:val="18"/>
          <w:szCs w:val="18"/>
        </w:rPr>
        <w:t>ρο βάρος των φόρων κατοχής το 2011 έφερε</w:t>
      </w:r>
      <w:r w:rsidRPr="00E75B0C">
        <w:rPr>
          <w:rFonts w:ascii="Verdana" w:hAnsi="Verdana"/>
          <w:sz w:val="18"/>
          <w:szCs w:val="18"/>
        </w:rPr>
        <w:t>,</w:t>
      </w:r>
      <w:r w:rsidR="009A4719" w:rsidRPr="00E75B0C">
        <w:rPr>
          <w:rFonts w:ascii="Verdana" w:hAnsi="Verdana"/>
          <w:sz w:val="18"/>
          <w:szCs w:val="18"/>
        </w:rPr>
        <w:t xml:space="preserve"> </w:t>
      </w:r>
      <w:r w:rsidRPr="00E75B0C">
        <w:rPr>
          <w:rFonts w:ascii="Verdana" w:hAnsi="Verdana"/>
          <w:sz w:val="18"/>
          <w:szCs w:val="18"/>
        </w:rPr>
        <w:t xml:space="preserve">συγκριτικά, η </w:t>
      </w:r>
      <w:r w:rsidR="00B672FE" w:rsidRPr="00E75B0C">
        <w:rPr>
          <w:rFonts w:ascii="Verdana" w:hAnsi="Verdana"/>
          <w:sz w:val="18"/>
          <w:szCs w:val="18"/>
        </w:rPr>
        <w:t>Ελλάδα</w:t>
      </w:r>
      <w:r w:rsidRPr="00E75B0C">
        <w:rPr>
          <w:rFonts w:ascii="Verdana" w:hAnsi="Verdana"/>
          <w:sz w:val="18"/>
          <w:szCs w:val="18"/>
        </w:rPr>
        <w:t xml:space="preserve"> </w:t>
      </w:r>
      <w:r w:rsidR="00786119" w:rsidRPr="00E75B0C">
        <w:rPr>
          <w:rFonts w:ascii="Verdana" w:hAnsi="Verdana"/>
          <w:sz w:val="18"/>
          <w:szCs w:val="18"/>
        </w:rPr>
        <w:t>–</w:t>
      </w:r>
      <w:r w:rsidRPr="00E75B0C">
        <w:rPr>
          <w:rFonts w:ascii="Verdana" w:hAnsi="Verdana"/>
          <w:sz w:val="18"/>
          <w:szCs w:val="18"/>
        </w:rPr>
        <w:t xml:space="preserve"> πριν</w:t>
      </w:r>
      <w:r w:rsidR="00786119" w:rsidRPr="00E75B0C">
        <w:rPr>
          <w:rFonts w:ascii="Verdana" w:hAnsi="Verdana"/>
          <w:sz w:val="18"/>
          <w:szCs w:val="18"/>
        </w:rPr>
        <w:t xml:space="preserve"> δηλ.</w:t>
      </w:r>
      <w:r w:rsidRPr="00E75B0C">
        <w:rPr>
          <w:rFonts w:ascii="Verdana" w:hAnsi="Verdana"/>
          <w:sz w:val="18"/>
          <w:szCs w:val="18"/>
        </w:rPr>
        <w:t xml:space="preserve"> την μετέπειτα </w:t>
      </w:r>
      <w:r w:rsidR="00786119" w:rsidRPr="00E75B0C">
        <w:rPr>
          <w:rFonts w:ascii="Verdana" w:hAnsi="Verdana"/>
          <w:sz w:val="18"/>
          <w:szCs w:val="18"/>
        </w:rPr>
        <w:t xml:space="preserve">νέα </w:t>
      </w:r>
      <w:r w:rsidR="009A4719" w:rsidRPr="00E75B0C">
        <w:rPr>
          <w:rFonts w:ascii="Verdana" w:hAnsi="Verdana"/>
          <w:sz w:val="18"/>
          <w:szCs w:val="18"/>
        </w:rPr>
        <w:t>αύξηση</w:t>
      </w:r>
      <w:r w:rsidRPr="00E75B0C">
        <w:rPr>
          <w:rFonts w:ascii="Verdana" w:hAnsi="Verdana"/>
          <w:sz w:val="18"/>
          <w:szCs w:val="18"/>
        </w:rPr>
        <w:t xml:space="preserve"> των φόρων αυτών. </w:t>
      </w:r>
    </w:p>
    <w:p w:rsidR="00AB0836" w:rsidRPr="00E75B0C" w:rsidRDefault="00AB0836" w:rsidP="00AB0836">
      <w:pPr>
        <w:pStyle w:val="a3"/>
        <w:numPr>
          <w:ilvl w:val="0"/>
          <w:numId w:val="5"/>
        </w:numPr>
        <w:rPr>
          <w:rFonts w:ascii="Verdana" w:hAnsi="Verdana"/>
          <w:sz w:val="18"/>
          <w:szCs w:val="18"/>
        </w:rPr>
      </w:pPr>
      <w:r w:rsidRPr="00E75B0C">
        <w:rPr>
          <w:rFonts w:ascii="Verdana" w:hAnsi="Verdana"/>
          <w:sz w:val="18"/>
          <w:szCs w:val="18"/>
        </w:rPr>
        <w:t xml:space="preserve">Η σχετική ανάλυση έχει μεγάλη πολιτική σημασία, καθώς διαψεύδει επιχειρήματα, που κατά καιρούς </w:t>
      </w:r>
      <w:r w:rsidR="00B672FE" w:rsidRPr="00E75B0C">
        <w:rPr>
          <w:rFonts w:ascii="Verdana" w:hAnsi="Verdana"/>
          <w:sz w:val="18"/>
          <w:szCs w:val="18"/>
        </w:rPr>
        <w:t>ακούστηκαν</w:t>
      </w:r>
      <w:r w:rsidRPr="00E75B0C">
        <w:rPr>
          <w:rFonts w:ascii="Verdana" w:hAnsi="Verdana"/>
          <w:sz w:val="18"/>
          <w:szCs w:val="18"/>
        </w:rPr>
        <w:t xml:space="preserve"> από επίσημα χείλη τα τελευταία 4-5 χρόνια</w:t>
      </w:r>
      <w:r w:rsidR="007F1C67" w:rsidRPr="00E75B0C">
        <w:rPr>
          <w:rFonts w:ascii="Verdana" w:hAnsi="Verdana"/>
          <w:sz w:val="18"/>
          <w:szCs w:val="18"/>
        </w:rPr>
        <w:t xml:space="preserve"> (ιδίως το 2013)</w:t>
      </w:r>
      <w:r w:rsidRPr="00E75B0C">
        <w:rPr>
          <w:rFonts w:ascii="Verdana" w:hAnsi="Verdana"/>
          <w:sz w:val="18"/>
          <w:szCs w:val="18"/>
        </w:rPr>
        <w:t xml:space="preserve">, είτε πως είναι μικρό το συνολικό φορολογικό βάρος των Ελλήνων σε </w:t>
      </w:r>
      <w:r w:rsidR="009A4719" w:rsidRPr="00E75B0C">
        <w:rPr>
          <w:rFonts w:ascii="Verdana" w:hAnsi="Verdana"/>
          <w:sz w:val="18"/>
          <w:szCs w:val="18"/>
        </w:rPr>
        <w:t>σχέση</w:t>
      </w:r>
      <w:r w:rsidRPr="00E75B0C">
        <w:rPr>
          <w:rFonts w:ascii="Verdana" w:hAnsi="Verdana"/>
          <w:sz w:val="18"/>
          <w:szCs w:val="18"/>
        </w:rPr>
        <w:t xml:space="preserve"> με τον ΟΟΣΑ είτε πως είναι μικρό ειδικά το βάρος των φόρων κατοχής.</w:t>
      </w:r>
    </w:p>
    <w:p w:rsidR="00AB0836" w:rsidRPr="00E75B0C" w:rsidRDefault="00AB0836" w:rsidP="00AB0836">
      <w:pPr>
        <w:pStyle w:val="a3"/>
        <w:numPr>
          <w:ilvl w:val="0"/>
          <w:numId w:val="5"/>
        </w:numPr>
        <w:rPr>
          <w:rFonts w:ascii="Verdana" w:hAnsi="Verdana"/>
          <w:sz w:val="18"/>
          <w:szCs w:val="18"/>
        </w:rPr>
      </w:pPr>
      <w:r w:rsidRPr="00E75B0C">
        <w:rPr>
          <w:rFonts w:ascii="Verdana" w:hAnsi="Verdana"/>
          <w:sz w:val="18"/>
          <w:szCs w:val="18"/>
        </w:rPr>
        <w:t xml:space="preserve">Η μελέτη τονίζει επίσης πως, όσον αφορά </w:t>
      </w:r>
      <w:r w:rsidR="00B672FE" w:rsidRPr="00E75B0C">
        <w:rPr>
          <w:rFonts w:ascii="Verdana" w:hAnsi="Verdana"/>
          <w:sz w:val="18"/>
          <w:szCs w:val="18"/>
        </w:rPr>
        <w:t>σ</w:t>
      </w:r>
      <w:r w:rsidRPr="00E75B0C">
        <w:rPr>
          <w:rFonts w:ascii="Verdana" w:hAnsi="Verdana"/>
          <w:sz w:val="18"/>
          <w:szCs w:val="18"/>
        </w:rPr>
        <w:t xml:space="preserve">την </w:t>
      </w:r>
      <w:r w:rsidR="009A4719" w:rsidRPr="00E75B0C">
        <w:rPr>
          <w:rFonts w:ascii="Verdana" w:hAnsi="Verdana"/>
          <w:sz w:val="18"/>
          <w:szCs w:val="18"/>
        </w:rPr>
        <w:t>επίπτωση</w:t>
      </w:r>
      <w:r w:rsidRPr="00E75B0C">
        <w:rPr>
          <w:rFonts w:ascii="Verdana" w:hAnsi="Verdana"/>
          <w:sz w:val="18"/>
          <w:szCs w:val="18"/>
        </w:rPr>
        <w:t xml:space="preserve"> σε κτηματαγορά, οι φόροι κατοχής είναι </w:t>
      </w:r>
      <w:r w:rsidR="007F1C67" w:rsidRPr="00E75B0C">
        <w:rPr>
          <w:rFonts w:ascii="Verdana" w:hAnsi="Verdana"/>
          <w:sz w:val="18"/>
          <w:szCs w:val="18"/>
        </w:rPr>
        <w:t xml:space="preserve">πολύ </w:t>
      </w:r>
      <w:r w:rsidR="009A4719" w:rsidRPr="00E75B0C">
        <w:rPr>
          <w:rFonts w:ascii="Verdana" w:hAnsi="Verdana"/>
          <w:sz w:val="18"/>
          <w:szCs w:val="18"/>
        </w:rPr>
        <w:t>πιο</w:t>
      </w:r>
      <w:r w:rsidRPr="00E75B0C">
        <w:rPr>
          <w:rFonts w:ascii="Verdana" w:hAnsi="Verdana"/>
          <w:sz w:val="18"/>
          <w:szCs w:val="18"/>
        </w:rPr>
        <w:t xml:space="preserve"> σημαντικοί απ’ τους φόρους </w:t>
      </w:r>
      <w:r w:rsidR="00B672FE" w:rsidRPr="00E75B0C">
        <w:rPr>
          <w:rFonts w:ascii="Verdana" w:hAnsi="Verdana"/>
          <w:sz w:val="18"/>
          <w:szCs w:val="18"/>
        </w:rPr>
        <w:t>μεταβίβασης</w:t>
      </w:r>
      <w:r w:rsidRPr="00E75B0C">
        <w:rPr>
          <w:rFonts w:ascii="Verdana" w:hAnsi="Verdana"/>
          <w:sz w:val="18"/>
          <w:szCs w:val="18"/>
        </w:rPr>
        <w:t xml:space="preserve">, καθώς η επίπτωση των φόρων κατοχής </w:t>
      </w:r>
      <w:r w:rsidR="009A4719" w:rsidRPr="00E75B0C">
        <w:rPr>
          <w:rFonts w:ascii="Verdana" w:hAnsi="Verdana"/>
          <w:sz w:val="18"/>
          <w:szCs w:val="18"/>
        </w:rPr>
        <w:t>εκδηλώνεται</w:t>
      </w:r>
      <w:r w:rsidRPr="00E75B0C">
        <w:rPr>
          <w:rFonts w:ascii="Verdana" w:hAnsi="Verdana"/>
          <w:sz w:val="18"/>
          <w:szCs w:val="18"/>
        </w:rPr>
        <w:t xml:space="preserve"> σε βάθος χρόνου, ενώ η επίπτωση των φόρων </w:t>
      </w:r>
      <w:r w:rsidR="00B672FE" w:rsidRPr="00E75B0C">
        <w:rPr>
          <w:rFonts w:ascii="Verdana" w:hAnsi="Verdana"/>
          <w:sz w:val="18"/>
          <w:szCs w:val="18"/>
        </w:rPr>
        <w:t>μεταβίβασης</w:t>
      </w:r>
      <w:r w:rsidRPr="00E75B0C">
        <w:rPr>
          <w:rFonts w:ascii="Verdana" w:hAnsi="Verdana"/>
          <w:sz w:val="18"/>
          <w:szCs w:val="18"/>
        </w:rPr>
        <w:t xml:space="preserve"> </w:t>
      </w:r>
      <w:r w:rsidR="00DE1922" w:rsidRPr="00E75B0C">
        <w:rPr>
          <w:rFonts w:ascii="Verdana" w:hAnsi="Verdana"/>
          <w:sz w:val="18"/>
          <w:szCs w:val="18"/>
        </w:rPr>
        <w:t xml:space="preserve">σημειώνεται εφάπαξ, </w:t>
      </w:r>
      <w:r w:rsidR="007F1C67" w:rsidRPr="00E75B0C">
        <w:rPr>
          <w:rFonts w:ascii="Verdana" w:hAnsi="Verdana"/>
          <w:sz w:val="18"/>
          <w:szCs w:val="18"/>
        </w:rPr>
        <w:t xml:space="preserve">κατόπιν δε, </w:t>
      </w:r>
      <w:r w:rsidR="00DE1922" w:rsidRPr="00E75B0C">
        <w:rPr>
          <w:rFonts w:ascii="Verdana" w:hAnsi="Verdana"/>
          <w:sz w:val="18"/>
          <w:szCs w:val="18"/>
          <w:lang w:val="en-US"/>
        </w:rPr>
        <w:t>ceteris</w:t>
      </w:r>
      <w:r w:rsidR="00DE1922" w:rsidRPr="00E75B0C">
        <w:rPr>
          <w:rFonts w:ascii="Verdana" w:hAnsi="Verdana"/>
          <w:sz w:val="18"/>
          <w:szCs w:val="18"/>
        </w:rPr>
        <w:t xml:space="preserve"> </w:t>
      </w:r>
      <w:r w:rsidR="00DE1922" w:rsidRPr="00E75B0C">
        <w:rPr>
          <w:rFonts w:ascii="Verdana" w:hAnsi="Verdana"/>
          <w:sz w:val="18"/>
          <w:szCs w:val="18"/>
          <w:lang w:val="en-US"/>
        </w:rPr>
        <w:t>paribus</w:t>
      </w:r>
      <w:r w:rsidR="007F1C67" w:rsidRPr="00E75B0C">
        <w:rPr>
          <w:rFonts w:ascii="Verdana" w:hAnsi="Verdana"/>
          <w:sz w:val="18"/>
          <w:szCs w:val="18"/>
        </w:rPr>
        <w:t>, απορροφάται απ’ την κτηματαγορά.</w:t>
      </w:r>
    </w:p>
    <w:p w:rsidR="00DE1922" w:rsidRPr="00E75B0C" w:rsidRDefault="00DE1922" w:rsidP="00AB0836">
      <w:pPr>
        <w:pStyle w:val="a3"/>
        <w:numPr>
          <w:ilvl w:val="0"/>
          <w:numId w:val="5"/>
        </w:numPr>
        <w:rPr>
          <w:rFonts w:ascii="Verdana" w:hAnsi="Verdana"/>
          <w:sz w:val="18"/>
          <w:szCs w:val="18"/>
        </w:rPr>
      </w:pPr>
      <w:r w:rsidRPr="00E75B0C">
        <w:rPr>
          <w:rFonts w:ascii="Verdana" w:hAnsi="Verdana"/>
          <w:sz w:val="18"/>
          <w:szCs w:val="18"/>
        </w:rPr>
        <w:t xml:space="preserve">Ακόμη, η ανάλυση παρουσιάζει και σχολιάζει επιχειρήματα υπέρ και κατά της </w:t>
      </w:r>
      <w:r w:rsidR="005E32C6" w:rsidRPr="00E75B0C">
        <w:rPr>
          <w:rFonts w:ascii="Verdana" w:hAnsi="Verdana"/>
          <w:sz w:val="18"/>
          <w:szCs w:val="18"/>
        </w:rPr>
        <w:t>ύπαρξης</w:t>
      </w:r>
      <w:r w:rsidRPr="00E75B0C">
        <w:rPr>
          <w:rFonts w:ascii="Verdana" w:hAnsi="Verdana"/>
          <w:sz w:val="18"/>
          <w:szCs w:val="18"/>
        </w:rPr>
        <w:t xml:space="preserve"> φόρων ακινήτων, συμπεραίνουσα πως τα επιχειρήματα «κατά» είναι </w:t>
      </w:r>
      <w:r w:rsidR="009A4719" w:rsidRPr="00E75B0C">
        <w:rPr>
          <w:rFonts w:ascii="Verdana" w:hAnsi="Verdana"/>
          <w:sz w:val="18"/>
          <w:szCs w:val="18"/>
        </w:rPr>
        <w:t>πιο</w:t>
      </w:r>
      <w:r w:rsidRPr="00E75B0C">
        <w:rPr>
          <w:rFonts w:ascii="Verdana" w:hAnsi="Verdana"/>
          <w:sz w:val="18"/>
          <w:szCs w:val="18"/>
        </w:rPr>
        <w:t xml:space="preserve"> ισχυρά, ιδίως όσον αφορά </w:t>
      </w:r>
      <w:r w:rsidR="00414FA4" w:rsidRPr="00E75B0C">
        <w:rPr>
          <w:rFonts w:ascii="Verdana" w:hAnsi="Verdana"/>
          <w:sz w:val="18"/>
          <w:szCs w:val="18"/>
        </w:rPr>
        <w:t>σ</w:t>
      </w:r>
      <w:r w:rsidRPr="00E75B0C">
        <w:rPr>
          <w:rFonts w:ascii="Verdana" w:hAnsi="Verdana"/>
          <w:sz w:val="18"/>
          <w:szCs w:val="18"/>
        </w:rPr>
        <w:t>τους φόρους κατοχής</w:t>
      </w:r>
      <w:r w:rsidR="007F1C67" w:rsidRPr="00E75B0C">
        <w:rPr>
          <w:rFonts w:ascii="Verdana" w:hAnsi="Verdana"/>
          <w:sz w:val="18"/>
          <w:szCs w:val="18"/>
        </w:rPr>
        <w:t xml:space="preserve"> ακινήτων</w:t>
      </w:r>
      <w:r w:rsidRPr="00E75B0C">
        <w:rPr>
          <w:rFonts w:ascii="Verdana" w:hAnsi="Verdana"/>
          <w:sz w:val="18"/>
          <w:szCs w:val="18"/>
        </w:rPr>
        <w:t xml:space="preserve">, οι οποίοι – και μόνο με κατάλληλες προσαρμογές – δικαιολογούνται εάν και εφ’ όσον </w:t>
      </w:r>
      <w:r w:rsidR="009A4719" w:rsidRPr="00E75B0C">
        <w:rPr>
          <w:rFonts w:ascii="Verdana" w:hAnsi="Verdana"/>
          <w:sz w:val="18"/>
          <w:szCs w:val="18"/>
        </w:rPr>
        <w:t xml:space="preserve">χαρακτηρίζονται από ανταποδοτικότητα. </w:t>
      </w:r>
      <w:r w:rsidR="00414FA4" w:rsidRPr="00E75B0C">
        <w:rPr>
          <w:rFonts w:ascii="Verdana" w:hAnsi="Verdana"/>
          <w:sz w:val="18"/>
          <w:szCs w:val="18"/>
        </w:rPr>
        <w:t>Αυτό</w:t>
      </w:r>
      <w:r w:rsidR="009A4719" w:rsidRPr="00E75B0C">
        <w:rPr>
          <w:rFonts w:ascii="Verdana" w:hAnsi="Verdana"/>
          <w:sz w:val="18"/>
          <w:szCs w:val="18"/>
        </w:rPr>
        <w:t xml:space="preserve"> </w:t>
      </w:r>
      <w:r w:rsidRPr="00E75B0C">
        <w:rPr>
          <w:rFonts w:ascii="Verdana" w:hAnsi="Verdana"/>
          <w:sz w:val="18"/>
          <w:szCs w:val="18"/>
        </w:rPr>
        <w:t xml:space="preserve">μπορεί </w:t>
      </w:r>
      <w:r w:rsidR="009A4719" w:rsidRPr="00E75B0C">
        <w:rPr>
          <w:rFonts w:ascii="Verdana" w:hAnsi="Verdana"/>
          <w:sz w:val="18"/>
          <w:szCs w:val="18"/>
        </w:rPr>
        <w:t xml:space="preserve">να συμβαίνει, σε σημαντικό αλλά </w:t>
      </w:r>
      <w:r w:rsidRPr="00E75B0C">
        <w:rPr>
          <w:rFonts w:ascii="Verdana" w:hAnsi="Verdana"/>
          <w:sz w:val="18"/>
          <w:szCs w:val="18"/>
        </w:rPr>
        <w:t>όχι κατ’ ανάγκην απόλυτο βαθμό, όταν αυτοί οι φόροι πηγαίνουν υπέρ ΤΑ.</w:t>
      </w:r>
    </w:p>
    <w:p w:rsidR="00DE1922" w:rsidRPr="00E75B0C" w:rsidRDefault="00DE1922" w:rsidP="00AB0836">
      <w:pPr>
        <w:pStyle w:val="a3"/>
        <w:numPr>
          <w:ilvl w:val="0"/>
          <w:numId w:val="5"/>
        </w:numPr>
        <w:rPr>
          <w:rFonts w:ascii="Verdana" w:hAnsi="Verdana"/>
          <w:sz w:val="18"/>
          <w:szCs w:val="18"/>
        </w:rPr>
      </w:pPr>
      <w:r w:rsidRPr="00E75B0C">
        <w:rPr>
          <w:rFonts w:ascii="Verdana" w:hAnsi="Verdana"/>
          <w:sz w:val="18"/>
          <w:szCs w:val="18"/>
        </w:rPr>
        <w:t>Τέλος, η εξέταση των περιπτώσεων Γαλλίας, Γερμανία και Ην. Βασιλείου προσφέρει ενδ</w:t>
      </w:r>
      <w:r w:rsidR="009A4719" w:rsidRPr="00E75B0C">
        <w:rPr>
          <w:rFonts w:ascii="Verdana" w:hAnsi="Verdana"/>
          <w:sz w:val="18"/>
          <w:szCs w:val="18"/>
        </w:rPr>
        <w:t xml:space="preserve">ιαφέρουσες ιδέες για το πώς θα </w:t>
      </w:r>
      <w:r w:rsidRPr="00E75B0C">
        <w:rPr>
          <w:rFonts w:ascii="Verdana" w:hAnsi="Verdana"/>
          <w:sz w:val="18"/>
          <w:szCs w:val="18"/>
        </w:rPr>
        <w:t xml:space="preserve">μπορούσαν οι φόροι κατοχής ακινήτων να γίνουν φόροι </w:t>
      </w:r>
      <w:r w:rsidR="005E32C6" w:rsidRPr="00E75B0C">
        <w:rPr>
          <w:rFonts w:ascii="Verdana" w:hAnsi="Verdana"/>
          <w:sz w:val="18"/>
          <w:szCs w:val="18"/>
        </w:rPr>
        <w:t>χρηματοδότησης</w:t>
      </w:r>
      <w:r w:rsidRPr="00E75B0C">
        <w:rPr>
          <w:rFonts w:ascii="Verdana" w:hAnsi="Verdana"/>
          <w:sz w:val="18"/>
          <w:szCs w:val="18"/>
        </w:rPr>
        <w:t xml:space="preserve"> της ΤΑ</w:t>
      </w:r>
      <w:r w:rsidR="007F1C67" w:rsidRPr="00E75B0C">
        <w:rPr>
          <w:rFonts w:ascii="Verdana" w:hAnsi="Verdana"/>
          <w:sz w:val="18"/>
          <w:szCs w:val="18"/>
        </w:rPr>
        <w:t xml:space="preserve"> στην Ελλάδα</w:t>
      </w:r>
      <w:r w:rsidRPr="00E75B0C">
        <w:rPr>
          <w:rFonts w:ascii="Verdana" w:hAnsi="Verdana"/>
          <w:sz w:val="18"/>
          <w:szCs w:val="18"/>
        </w:rPr>
        <w:t>, με τρόπους δηλ., που θα εξασφαλίζουν (α) την αυτονομία της ΤΑ, (β) ανταποδοτικότητα των φόρων, (γ) την φοροδοτική ικανότητα των ιδιοκτητών</w:t>
      </w:r>
      <w:r w:rsidR="00352561" w:rsidRPr="00E75B0C">
        <w:rPr>
          <w:rFonts w:ascii="Verdana" w:hAnsi="Verdana"/>
          <w:sz w:val="18"/>
          <w:szCs w:val="18"/>
        </w:rPr>
        <w:t xml:space="preserve"> (ή και ενοικιαστών, καθώς στις ανωτέρω χώρες υπόλογοι για τον φόρο κατοχής είναι συχνά οι ένοικοι-ενοικιαστές και όχι οι ιδιοκτήτες).</w:t>
      </w:r>
    </w:p>
    <w:p w:rsidR="00AB0836" w:rsidRPr="00E75B0C" w:rsidRDefault="00AB0836">
      <w:pPr>
        <w:rPr>
          <w:rFonts w:ascii="Verdana" w:hAnsi="Verdana"/>
          <w:sz w:val="18"/>
          <w:szCs w:val="18"/>
        </w:rPr>
      </w:pPr>
      <w:r w:rsidRPr="00E75B0C">
        <w:rPr>
          <w:rFonts w:ascii="Verdana" w:hAnsi="Verdana"/>
          <w:sz w:val="18"/>
          <w:szCs w:val="18"/>
        </w:rPr>
        <w:br w:type="page"/>
      </w:r>
    </w:p>
    <w:p w:rsidR="00AB0836" w:rsidRPr="005E32C6" w:rsidRDefault="00AB0836" w:rsidP="00AB0836">
      <w:pPr>
        <w:spacing w:line="240" w:lineRule="auto"/>
        <w:jc w:val="center"/>
        <w:rPr>
          <w:rFonts w:ascii="Verdana" w:hAnsi="Verdana"/>
          <w:i/>
          <w:sz w:val="18"/>
          <w:szCs w:val="18"/>
        </w:rPr>
      </w:pPr>
      <w:r w:rsidRPr="005E32C6">
        <w:rPr>
          <w:rFonts w:ascii="Verdana" w:hAnsi="Verdana"/>
          <w:i/>
          <w:sz w:val="18"/>
          <w:szCs w:val="18"/>
        </w:rPr>
        <w:lastRenderedPageBreak/>
        <w:t>Το βάρος των φόρων ακινήτων (</w:t>
      </w:r>
      <w:r w:rsidR="00783BC0" w:rsidRPr="005E32C6">
        <w:rPr>
          <w:rFonts w:ascii="Verdana" w:hAnsi="Verdana"/>
          <w:i/>
          <w:sz w:val="18"/>
          <w:szCs w:val="18"/>
        </w:rPr>
        <w:t>και κυρίως φόρων κατοχής</w:t>
      </w:r>
      <w:r w:rsidR="009A4719" w:rsidRPr="005E32C6">
        <w:rPr>
          <w:rFonts w:ascii="Verdana" w:hAnsi="Verdana"/>
          <w:i/>
          <w:sz w:val="18"/>
          <w:szCs w:val="18"/>
        </w:rPr>
        <w:t>) σε Ελλάδα και ο</w:t>
      </w:r>
      <w:r w:rsidRPr="005E32C6">
        <w:rPr>
          <w:rFonts w:ascii="Verdana" w:hAnsi="Verdana"/>
          <w:i/>
          <w:sz w:val="18"/>
          <w:szCs w:val="18"/>
        </w:rPr>
        <w:t xml:space="preserve">ρισμένες άλλες χώρες – </w:t>
      </w:r>
    </w:p>
    <w:p w:rsidR="00AB0836" w:rsidRPr="005E32C6" w:rsidRDefault="00AB0836" w:rsidP="00AB0836">
      <w:pPr>
        <w:spacing w:line="240" w:lineRule="auto"/>
        <w:jc w:val="center"/>
        <w:rPr>
          <w:rFonts w:ascii="Verdana" w:hAnsi="Verdana"/>
          <w:i/>
          <w:sz w:val="18"/>
          <w:szCs w:val="18"/>
        </w:rPr>
      </w:pPr>
      <w:r w:rsidRPr="005E32C6">
        <w:rPr>
          <w:rFonts w:ascii="Verdana" w:hAnsi="Verdana"/>
          <w:i/>
          <w:sz w:val="18"/>
          <w:szCs w:val="18"/>
        </w:rPr>
        <w:t>Φορολόγηση ακινήτων σε Γαλλία – Γερμανία – Ην. Βασίλειο</w:t>
      </w:r>
    </w:p>
    <w:p w:rsidR="00360CD1" w:rsidRPr="00E75B0C" w:rsidRDefault="00360CD1">
      <w:pPr>
        <w:rPr>
          <w:rFonts w:ascii="Verdana" w:hAnsi="Verdana"/>
          <w:sz w:val="18"/>
          <w:szCs w:val="18"/>
        </w:rPr>
      </w:pPr>
    </w:p>
    <w:p w:rsidR="00360CD1" w:rsidRPr="00E75B0C" w:rsidRDefault="00360CD1">
      <w:pPr>
        <w:rPr>
          <w:rFonts w:ascii="Verdana" w:hAnsi="Verdana"/>
          <w:i/>
          <w:sz w:val="18"/>
          <w:szCs w:val="18"/>
        </w:rPr>
      </w:pPr>
      <w:r w:rsidRPr="00E75B0C">
        <w:rPr>
          <w:rFonts w:ascii="Verdana" w:hAnsi="Verdana"/>
          <w:i/>
          <w:sz w:val="18"/>
          <w:szCs w:val="18"/>
        </w:rPr>
        <w:t xml:space="preserve">Πρέπει να υπάρχουν φόροι ακινήτων; </w:t>
      </w:r>
    </w:p>
    <w:p w:rsidR="00360CD1" w:rsidRPr="00E75B0C" w:rsidRDefault="00360CD1">
      <w:pPr>
        <w:rPr>
          <w:rFonts w:ascii="Verdana" w:hAnsi="Verdana"/>
          <w:i/>
          <w:sz w:val="18"/>
          <w:szCs w:val="18"/>
        </w:rPr>
      </w:pPr>
      <w:r w:rsidRPr="00E75B0C">
        <w:rPr>
          <w:rFonts w:ascii="Verdana" w:hAnsi="Verdana"/>
          <w:i/>
          <w:sz w:val="18"/>
          <w:szCs w:val="18"/>
        </w:rPr>
        <w:t>Ειδικότερα, πρέπει να υπάρχουν φόροι κατοχής ακινήτων (</w:t>
      </w:r>
      <w:proofErr w:type="spellStart"/>
      <w:r w:rsidRPr="00E75B0C">
        <w:rPr>
          <w:rFonts w:ascii="Verdana" w:hAnsi="Verdana"/>
          <w:i/>
          <w:sz w:val="18"/>
          <w:szCs w:val="18"/>
        </w:rPr>
        <w:t>recurrent</w:t>
      </w:r>
      <w:proofErr w:type="spellEnd"/>
      <w:r w:rsidRPr="00E75B0C">
        <w:rPr>
          <w:rFonts w:ascii="Verdana" w:hAnsi="Verdana"/>
          <w:i/>
          <w:sz w:val="18"/>
          <w:szCs w:val="18"/>
        </w:rPr>
        <w:t xml:space="preserve"> </w:t>
      </w:r>
      <w:proofErr w:type="spellStart"/>
      <w:r w:rsidRPr="00E75B0C">
        <w:rPr>
          <w:rFonts w:ascii="Verdana" w:hAnsi="Verdana"/>
          <w:i/>
          <w:sz w:val="18"/>
          <w:szCs w:val="18"/>
        </w:rPr>
        <w:t>property</w:t>
      </w:r>
      <w:proofErr w:type="spellEnd"/>
      <w:r w:rsidRPr="00E75B0C">
        <w:rPr>
          <w:rFonts w:ascii="Verdana" w:hAnsi="Verdana"/>
          <w:i/>
          <w:sz w:val="18"/>
          <w:szCs w:val="18"/>
        </w:rPr>
        <w:t xml:space="preserve"> </w:t>
      </w:r>
      <w:proofErr w:type="spellStart"/>
      <w:r w:rsidRPr="00E75B0C">
        <w:rPr>
          <w:rFonts w:ascii="Verdana" w:hAnsi="Verdana"/>
          <w:i/>
          <w:sz w:val="18"/>
          <w:szCs w:val="18"/>
        </w:rPr>
        <w:t>taxes</w:t>
      </w:r>
      <w:proofErr w:type="spellEnd"/>
      <w:r w:rsidRPr="00E75B0C">
        <w:rPr>
          <w:rFonts w:ascii="Verdana" w:hAnsi="Verdana"/>
          <w:i/>
          <w:sz w:val="18"/>
          <w:szCs w:val="18"/>
        </w:rPr>
        <w:t>);</w:t>
      </w:r>
      <w:r w:rsidR="00CC67C9" w:rsidRPr="00E75B0C">
        <w:rPr>
          <w:rFonts w:ascii="Verdana" w:hAnsi="Verdana"/>
          <w:i/>
          <w:sz w:val="18"/>
          <w:szCs w:val="18"/>
        </w:rPr>
        <w:t xml:space="preserve"> [Υπ’ όψιν ότι τα 2/3 των φόρων ακινήτων στην ΕΕ είναι φόροι κατοχής</w:t>
      </w:r>
      <w:r w:rsidR="006C680C" w:rsidRPr="00E75B0C">
        <w:rPr>
          <w:rFonts w:ascii="Verdana" w:hAnsi="Verdana"/>
          <w:i/>
          <w:sz w:val="18"/>
          <w:szCs w:val="18"/>
        </w:rPr>
        <w:t>, δηλ. επαναλαμβανόμενοι φόροι ακινήτων</w:t>
      </w:r>
      <w:r w:rsidR="00CC67C9" w:rsidRPr="00E75B0C">
        <w:rPr>
          <w:rFonts w:ascii="Verdana" w:hAnsi="Verdana"/>
          <w:i/>
          <w:sz w:val="18"/>
          <w:szCs w:val="18"/>
        </w:rPr>
        <w:t xml:space="preserve"> – βλ. </w:t>
      </w:r>
      <w:r w:rsidR="00CC67C9" w:rsidRPr="00E75B0C">
        <w:rPr>
          <w:rFonts w:ascii="Verdana" w:hAnsi="Verdana"/>
          <w:i/>
          <w:sz w:val="18"/>
          <w:szCs w:val="18"/>
          <w:lang w:val="en-US"/>
        </w:rPr>
        <w:t>Eurostat</w:t>
      </w:r>
      <w:r w:rsidR="00CC67C9" w:rsidRPr="00E75B0C">
        <w:rPr>
          <w:rFonts w:ascii="Verdana" w:hAnsi="Verdana"/>
          <w:i/>
          <w:sz w:val="18"/>
          <w:szCs w:val="18"/>
        </w:rPr>
        <w:t xml:space="preserve"> (2014): </w:t>
      </w:r>
      <w:r w:rsidR="00CC67C9" w:rsidRPr="00E75B0C">
        <w:rPr>
          <w:rFonts w:ascii="Verdana" w:hAnsi="Verdana"/>
          <w:i/>
          <w:sz w:val="18"/>
          <w:szCs w:val="18"/>
          <w:lang w:val="en-US"/>
        </w:rPr>
        <w:t>Taxation</w:t>
      </w:r>
      <w:r w:rsidR="00CC67C9" w:rsidRPr="00E75B0C">
        <w:rPr>
          <w:rFonts w:ascii="Verdana" w:hAnsi="Verdana"/>
          <w:i/>
          <w:sz w:val="18"/>
          <w:szCs w:val="18"/>
        </w:rPr>
        <w:t xml:space="preserve"> </w:t>
      </w:r>
      <w:r w:rsidR="00CC67C9" w:rsidRPr="00E75B0C">
        <w:rPr>
          <w:rFonts w:ascii="Verdana" w:hAnsi="Verdana"/>
          <w:i/>
          <w:sz w:val="18"/>
          <w:szCs w:val="18"/>
          <w:lang w:val="en-US"/>
        </w:rPr>
        <w:t>trends</w:t>
      </w:r>
      <w:r w:rsidR="00CC67C9" w:rsidRPr="00E75B0C">
        <w:rPr>
          <w:rFonts w:ascii="Verdana" w:hAnsi="Verdana"/>
          <w:i/>
          <w:sz w:val="18"/>
          <w:szCs w:val="18"/>
        </w:rPr>
        <w:t xml:space="preserve"> </w:t>
      </w:r>
      <w:r w:rsidR="00CC67C9" w:rsidRPr="00E75B0C">
        <w:rPr>
          <w:rFonts w:ascii="Verdana" w:hAnsi="Verdana"/>
          <w:i/>
          <w:sz w:val="18"/>
          <w:szCs w:val="18"/>
          <w:lang w:val="en-US"/>
        </w:rPr>
        <w:t>in</w:t>
      </w:r>
      <w:r w:rsidR="00CC67C9" w:rsidRPr="00E75B0C">
        <w:rPr>
          <w:rFonts w:ascii="Verdana" w:hAnsi="Verdana"/>
          <w:i/>
          <w:sz w:val="18"/>
          <w:szCs w:val="18"/>
        </w:rPr>
        <w:t xml:space="preserve"> </w:t>
      </w:r>
      <w:r w:rsidR="00CC67C9" w:rsidRPr="00E75B0C">
        <w:rPr>
          <w:rFonts w:ascii="Verdana" w:hAnsi="Verdana"/>
          <w:i/>
          <w:sz w:val="18"/>
          <w:szCs w:val="18"/>
          <w:lang w:val="en-US"/>
        </w:rPr>
        <w:t>the</w:t>
      </w:r>
      <w:r w:rsidR="00CC67C9" w:rsidRPr="00E75B0C">
        <w:rPr>
          <w:rFonts w:ascii="Verdana" w:hAnsi="Verdana"/>
          <w:i/>
          <w:sz w:val="18"/>
          <w:szCs w:val="18"/>
        </w:rPr>
        <w:t xml:space="preserve"> </w:t>
      </w:r>
      <w:r w:rsidR="00CC67C9" w:rsidRPr="00E75B0C">
        <w:rPr>
          <w:rFonts w:ascii="Verdana" w:hAnsi="Verdana"/>
          <w:i/>
          <w:sz w:val="18"/>
          <w:szCs w:val="18"/>
          <w:lang w:val="en-US"/>
        </w:rPr>
        <w:t>European</w:t>
      </w:r>
      <w:r w:rsidR="00CC67C9" w:rsidRPr="00E75B0C">
        <w:rPr>
          <w:rFonts w:ascii="Verdana" w:hAnsi="Verdana"/>
          <w:i/>
          <w:sz w:val="18"/>
          <w:szCs w:val="18"/>
        </w:rPr>
        <w:t xml:space="preserve"> </w:t>
      </w:r>
      <w:r w:rsidR="00CC67C9" w:rsidRPr="00E75B0C">
        <w:rPr>
          <w:rFonts w:ascii="Verdana" w:hAnsi="Verdana"/>
          <w:i/>
          <w:sz w:val="18"/>
          <w:szCs w:val="18"/>
          <w:lang w:val="en-US"/>
        </w:rPr>
        <w:t>Union</w:t>
      </w:r>
      <w:r w:rsidR="00CC67C9" w:rsidRPr="00E75B0C">
        <w:rPr>
          <w:rFonts w:ascii="Verdana" w:hAnsi="Verdana"/>
          <w:i/>
          <w:sz w:val="18"/>
          <w:szCs w:val="18"/>
        </w:rPr>
        <w:t xml:space="preserve">, </w:t>
      </w:r>
      <w:r w:rsidR="00CC67C9" w:rsidRPr="00E75B0C">
        <w:rPr>
          <w:rFonts w:ascii="Verdana" w:hAnsi="Verdana"/>
          <w:i/>
          <w:sz w:val="18"/>
          <w:szCs w:val="18"/>
          <w:lang w:val="en-US"/>
        </w:rPr>
        <w:t>p</w:t>
      </w:r>
      <w:r w:rsidR="00CC67C9" w:rsidRPr="00E75B0C">
        <w:rPr>
          <w:rFonts w:ascii="Verdana" w:hAnsi="Verdana"/>
          <w:i/>
          <w:sz w:val="18"/>
          <w:szCs w:val="18"/>
        </w:rPr>
        <w:t>. 44.]</w:t>
      </w:r>
    </w:p>
    <w:p w:rsidR="00DF5A58" w:rsidRPr="00E75B0C" w:rsidRDefault="00DF5A58">
      <w:pPr>
        <w:rPr>
          <w:rFonts w:ascii="Verdana" w:hAnsi="Verdana"/>
          <w:i/>
          <w:sz w:val="18"/>
          <w:szCs w:val="18"/>
        </w:rPr>
      </w:pPr>
      <w:r w:rsidRPr="00E75B0C">
        <w:rPr>
          <w:rFonts w:ascii="Verdana" w:hAnsi="Verdana"/>
          <w:i/>
          <w:sz w:val="18"/>
          <w:szCs w:val="18"/>
        </w:rPr>
        <w:t xml:space="preserve">Αν πρέπει να υπάρχουν φόροι κατοχής, πρέπει αυτοί να χρηματοδοτούν το κεντρικό κράτος ή την Τοπική </w:t>
      </w:r>
      <w:r w:rsidR="009A4719" w:rsidRPr="00E75B0C">
        <w:rPr>
          <w:rFonts w:ascii="Verdana" w:hAnsi="Verdana"/>
          <w:i/>
          <w:sz w:val="18"/>
          <w:szCs w:val="18"/>
        </w:rPr>
        <w:t>Αυτοδιοίκηση</w:t>
      </w:r>
      <w:r w:rsidR="00121D08" w:rsidRPr="00E75B0C">
        <w:rPr>
          <w:rFonts w:ascii="Verdana" w:hAnsi="Verdana"/>
          <w:i/>
          <w:sz w:val="18"/>
          <w:szCs w:val="18"/>
        </w:rPr>
        <w:t xml:space="preserve"> (ΤΑ)</w:t>
      </w:r>
      <w:r w:rsidRPr="00E75B0C">
        <w:rPr>
          <w:rFonts w:ascii="Verdana" w:hAnsi="Verdana"/>
          <w:i/>
          <w:sz w:val="18"/>
          <w:szCs w:val="18"/>
        </w:rPr>
        <w:t>;</w:t>
      </w:r>
    </w:p>
    <w:p w:rsidR="00360CD1" w:rsidRPr="00E75B0C" w:rsidRDefault="00360CD1">
      <w:pPr>
        <w:rPr>
          <w:rFonts w:ascii="Verdana" w:hAnsi="Verdana"/>
          <w:i/>
          <w:sz w:val="18"/>
          <w:szCs w:val="18"/>
        </w:rPr>
      </w:pPr>
      <w:r w:rsidRPr="00E75B0C">
        <w:rPr>
          <w:rFonts w:ascii="Verdana" w:hAnsi="Verdana"/>
          <w:i/>
          <w:sz w:val="18"/>
          <w:szCs w:val="18"/>
        </w:rPr>
        <w:t>Ποιά τα πλεονεκτήματα και μειονεκτήματα</w:t>
      </w:r>
      <w:r w:rsidR="00121D08" w:rsidRPr="00E75B0C">
        <w:rPr>
          <w:rFonts w:ascii="Verdana" w:hAnsi="Verdana"/>
          <w:i/>
          <w:sz w:val="18"/>
          <w:szCs w:val="18"/>
        </w:rPr>
        <w:t xml:space="preserve"> των φόρων ακινήτων</w:t>
      </w:r>
      <w:r w:rsidR="005C789A" w:rsidRPr="00E75B0C">
        <w:rPr>
          <w:rFonts w:ascii="Verdana" w:hAnsi="Verdana"/>
          <w:i/>
          <w:sz w:val="18"/>
          <w:szCs w:val="18"/>
        </w:rPr>
        <w:t xml:space="preserve"> εν γένει</w:t>
      </w:r>
      <w:r w:rsidR="00121D08" w:rsidRPr="00E75B0C">
        <w:rPr>
          <w:rFonts w:ascii="Verdana" w:hAnsi="Verdana"/>
          <w:i/>
          <w:sz w:val="18"/>
          <w:szCs w:val="18"/>
        </w:rPr>
        <w:t>, των φόρων κατοχής</w:t>
      </w:r>
      <w:r w:rsidR="005C789A" w:rsidRPr="00E75B0C">
        <w:rPr>
          <w:rFonts w:ascii="Verdana" w:hAnsi="Verdana"/>
          <w:i/>
          <w:sz w:val="18"/>
          <w:szCs w:val="18"/>
        </w:rPr>
        <w:t xml:space="preserve"> ειδικότερα</w:t>
      </w:r>
      <w:r w:rsidR="00121D08" w:rsidRPr="00E75B0C">
        <w:rPr>
          <w:rFonts w:ascii="Verdana" w:hAnsi="Verdana"/>
          <w:i/>
          <w:sz w:val="18"/>
          <w:szCs w:val="18"/>
        </w:rPr>
        <w:t xml:space="preserve"> και της </w:t>
      </w:r>
      <w:r w:rsidR="00783BC0" w:rsidRPr="00E75B0C">
        <w:rPr>
          <w:rFonts w:ascii="Verdana" w:hAnsi="Verdana"/>
          <w:i/>
          <w:sz w:val="18"/>
          <w:szCs w:val="18"/>
        </w:rPr>
        <w:t>χρήσης</w:t>
      </w:r>
      <w:r w:rsidR="00121D08" w:rsidRPr="00E75B0C">
        <w:rPr>
          <w:rFonts w:ascii="Verdana" w:hAnsi="Verdana"/>
          <w:i/>
          <w:sz w:val="18"/>
          <w:szCs w:val="18"/>
        </w:rPr>
        <w:t xml:space="preserve"> αυτών για </w:t>
      </w:r>
      <w:r w:rsidR="009A4719" w:rsidRPr="00E75B0C">
        <w:rPr>
          <w:rFonts w:ascii="Verdana" w:hAnsi="Verdana"/>
          <w:i/>
          <w:sz w:val="18"/>
          <w:szCs w:val="18"/>
        </w:rPr>
        <w:t>χρηματοδότηση</w:t>
      </w:r>
      <w:r w:rsidR="00121D08" w:rsidRPr="00E75B0C">
        <w:rPr>
          <w:rFonts w:ascii="Verdana" w:hAnsi="Verdana"/>
          <w:i/>
          <w:sz w:val="18"/>
          <w:szCs w:val="18"/>
        </w:rPr>
        <w:t xml:space="preserve"> της ΤΑ</w:t>
      </w:r>
      <w:r w:rsidRPr="00E75B0C">
        <w:rPr>
          <w:rFonts w:ascii="Verdana" w:hAnsi="Verdana"/>
          <w:i/>
          <w:sz w:val="18"/>
          <w:szCs w:val="18"/>
        </w:rPr>
        <w:t>;</w:t>
      </w:r>
    </w:p>
    <w:p w:rsidR="00C106AD" w:rsidRPr="00E75B0C" w:rsidRDefault="00783BC0">
      <w:pPr>
        <w:rPr>
          <w:rFonts w:ascii="Verdana" w:hAnsi="Verdana"/>
          <w:i/>
          <w:sz w:val="18"/>
          <w:szCs w:val="18"/>
        </w:rPr>
      </w:pPr>
      <w:r w:rsidRPr="00E75B0C">
        <w:rPr>
          <w:rFonts w:ascii="Verdana" w:hAnsi="Verdana"/>
          <w:i/>
          <w:sz w:val="18"/>
          <w:szCs w:val="18"/>
        </w:rPr>
        <w:t>Πώς μετρά</w:t>
      </w:r>
      <w:r w:rsidR="00FB6BE1" w:rsidRPr="00E75B0C">
        <w:rPr>
          <w:rFonts w:ascii="Verdana" w:hAnsi="Verdana"/>
          <w:i/>
          <w:sz w:val="18"/>
          <w:szCs w:val="18"/>
        </w:rPr>
        <w:t xml:space="preserve">ται </w:t>
      </w:r>
      <w:r w:rsidR="00C106AD" w:rsidRPr="00E75B0C">
        <w:rPr>
          <w:rFonts w:ascii="Verdana" w:hAnsi="Verdana"/>
          <w:i/>
          <w:sz w:val="18"/>
          <w:szCs w:val="18"/>
        </w:rPr>
        <w:t>το βάρος των φόρων κατοχής;</w:t>
      </w:r>
      <w:r w:rsidR="00FB6BE1" w:rsidRPr="00E75B0C">
        <w:rPr>
          <w:rFonts w:ascii="Verdana" w:hAnsi="Verdana"/>
          <w:i/>
          <w:sz w:val="18"/>
          <w:szCs w:val="18"/>
        </w:rPr>
        <w:t xml:space="preserve"> Είναι, συγκριτικά με άλλες χώρες, μικρό ή μεγάλο το βάρος των φόρων ακινήτων (και δη φόρων κατοχής) στην Ελλάδα;</w:t>
      </w:r>
    </w:p>
    <w:p w:rsidR="00360CD1" w:rsidRPr="00E75B0C" w:rsidRDefault="00FB6BE1">
      <w:pPr>
        <w:rPr>
          <w:rFonts w:ascii="Verdana" w:hAnsi="Verdana"/>
          <w:i/>
          <w:sz w:val="18"/>
          <w:szCs w:val="18"/>
        </w:rPr>
      </w:pPr>
      <w:r w:rsidRPr="00E75B0C">
        <w:rPr>
          <w:rFonts w:ascii="Verdana" w:hAnsi="Verdana"/>
          <w:i/>
          <w:sz w:val="18"/>
          <w:szCs w:val="18"/>
        </w:rPr>
        <w:t>Φορολόγηση ακινήτων σε Γαλλία – Γερμανία – Ην. Βασίλειο.</w:t>
      </w:r>
    </w:p>
    <w:p w:rsidR="00360CD1" w:rsidRPr="00E75B0C" w:rsidRDefault="00360CD1">
      <w:pPr>
        <w:rPr>
          <w:rFonts w:ascii="Verdana" w:hAnsi="Verdana"/>
          <w:sz w:val="18"/>
          <w:szCs w:val="18"/>
        </w:rPr>
      </w:pPr>
    </w:p>
    <w:p w:rsidR="00360CD1" w:rsidRPr="005E32C6" w:rsidRDefault="00121D08" w:rsidP="005E32C6">
      <w:pPr>
        <w:pStyle w:val="a3"/>
        <w:numPr>
          <w:ilvl w:val="0"/>
          <w:numId w:val="7"/>
        </w:numPr>
        <w:rPr>
          <w:rFonts w:ascii="Verdana" w:hAnsi="Verdana"/>
          <w:sz w:val="18"/>
          <w:szCs w:val="18"/>
        </w:rPr>
      </w:pPr>
      <w:r w:rsidRPr="005E32C6">
        <w:rPr>
          <w:rFonts w:ascii="Verdana" w:hAnsi="Verdana"/>
          <w:sz w:val="18"/>
          <w:szCs w:val="18"/>
        </w:rPr>
        <w:t>Πρέπει να υπάρχουν φόροι ακινήτων;</w:t>
      </w:r>
    </w:p>
    <w:p w:rsidR="00FD5B11" w:rsidRPr="00E75B0C" w:rsidRDefault="00FD5B11">
      <w:pPr>
        <w:rPr>
          <w:rFonts w:ascii="Verdana" w:hAnsi="Verdana"/>
          <w:sz w:val="18"/>
          <w:szCs w:val="18"/>
        </w:rPr>
      </w:pPr>
    </w:p>
    <w:p w:rsidR="00121D08" w:rsidRPr="00E75B0C" w:rsidRDefault="00121D08">
      <w:pPr>
        <w:rPr>
          <w:rFonts w:ascii="Verdana" w:hAnsi="Verdana"/>
          <w:sz w:val="18"/>
          <w:szCs w:val="18"/>
        </w:rPr>
      </w:pPr>
      <w:r w:rsidRPr="00E75B0C">
        <w:rPr>
          <w:rFonts w:ascii="Verdana" w:hAnsi="Verdana"/>
          <w:sz w:val="18"/>
          <w:szCs w:val="18"/>
        </w:rPr>
        <w:t xml:space="preserve">Αυτό και </w:t>
      </w:r>
      <w:r w:rsidR="009A4719" w:rsidRPr="00E75B0C">
        <w:rPr>
          <w:rFonts w:ascii="Verdana" w:hAnsi="Verdana"/>
          <w:sz w:val="18"/>
          <w:szCs w:val="18"/>
        </w:rPr>
        <w:t>ορισμένα</w:t>
      </w:r>
      <w:r w:rsidRPr="00E75B0C">
        <w:rPr>
          <w:rFonts w:ascii="Verdana" w:hAnsi="Verdana"/>
          <w:sz w:val="18"/>
          <w:szCs w:val="18"/>
        </w:rPr>
        <w:t xml:space="preserve"> απ’ τα επόμενα ερωτήματα πρέπει να τα απαντήσουμε διότι το όποιο βάρος των φόρων «μικραίνει» ή «μεγαλώνει» αναλόγως της </w:t>
      </w:r>
      <w:r w:rsidR="009A4719" w:rsidRPr="00E75B0C">
        <w:rPr>
          <w:rFonts w:ascii="Verdana" w:hAnsi="Verdana"/>
          <w:sz w:val="18"/>
          <w:szCs w:val="18"/>
        </w:rPr>
        <w:t>ανταποδοτικότητας</w:t>
      </w:r>
      <w:r w:rsidRPr="00E75B0C">
        <w:rPr>
          <w:rFonts w:ascii="Verdana" w:hAnsi="Verdana"/>
          <w:sz w:val="18"/>
          <w:szCs w:val="18"/>
        </w:rPr>
        <w:t xml:space="preserve"> των φόρων, είτε σε μακροοικονομικό επίπεδο είτε σε τοπικό επίπεδο. Αν δηλ. η </w:t>
      </w:r>
      <w:r w:rsidR="009A4719" w:rsidRPr="00E75B0C">
        <w:rPr>
          <w:rFonts w:ascii="Verdana" w:hAnsi="Verdana"/>
          <w:sz w:val="18"/>
          <w:szCs w:val="18"/>
        </w:rPr>
        <w:t>ανταποδοτικότητα</w:t>
      </w:r>
      <w:r w:rsidRPr="00E75B0C">
        <w:rPr>
          <w:rFonts w:ascii="Verdana" w:hAnsi="Verdana"/>
          <w:sz w:val="18"/>
          <w:szCs w:val="18"/>
        </w:rPr>
        <w:t xml:space="preserve"> είναι μεγάλη ή έστω ορατή, αντιστοίχως μικραίνει το βάρος των φόρων. Αλλιώς, το αντίθετο. </w:t>
      </w:r>
    </w:p>
    <w:p w:rsidR="00121D08" w:rsidRPr="00E75B0C" w:rsidRDefault="00121D08">
      <w:pPr>
        <w:rPr>
          <w:rFonts w:ascii="Verdana" w:hAnsi="Verdana"/>
          <w:sz w:val="18"/>
          <w:szCs w:val="18"/>
        </w:rPr>
      </w:pPr>
      <w:r w:rsidRPr="00E75B0C">
        <w:rPr>
          <w:rFonts w:ascii="Verdana" w:hAnsi="Verdana"/>
          <w:sz w:val="18"/>
          <w:szCs w:val="18"/>
        </w:rPr>
        <w:t>Πολύ σημαντικό, επίσης, είναι</w:t>
      </w:r>
      <w:r w:rsidR="00323B9A" w:rsidRPr="00E75B0C">
        <w:rPr>
          <w:rFonts w:ascii="Verdana" w:hAnsi="Verdana"/>
          <w:sz w:val="18"/>
          <w:szCs w:val="18"/>
        </w:rPr>
        <w:t xml:space="preserve"> το αν το βάρος των φόρων </w:t>
      </w:r>
      <w:r w:rsidR="009A4719" w:rsidRPr="00E75B0C">
        <w:rPr>
          <w:rFonts w:ascii="Verdana" w:hAnsi="Verdana"/>
          <w:sz w:val="18"/>
          <w:szCs w:val="18"/>
        </w:rPr>
        <w:t>μετράται</w:t>
      </w:r>
      <w:r w:rsidRPr="00E75B0C">
        <w:rPr>
          <w:rFonts w:ascii="Verdana" w:hAnsi="Verdana"/>
          <w:sz w:val="18"/>
          <w:szCs w:val="18"/>
        </w:rPr>
        <w:t xml:space="preserve"> σε </w:t>
      </w:r>
      <w:r w:rsidR="009A4719" w:rsidRPr="00E75B0C">
        <w:rPr>
          <w:rFonts w:ascii="Verdana" w:hAnsi="Verdana"/>
          <w:sz w:val="18"/>
          <w:szCs w:val="18"/>
        </w:rPr>
        <w:t>σχέση</w:t>
      </w:r>
      <w:r w:rsidRPr="00E75B0C">
        <w:rPr>
          <w:rFonts w:ascii="Verdana" w:hAnsi="Verdana"/>
          <w:sz w:val="18"/>
          <w:szCs w:val="18"/>
        </w:rPr>
        <w:t xml:space="preserve"> με τις τιμές των ακινήτων, σε </w:t>
      </w:r>
      <w:r w:rsidR="009A4719" w:rsidRPr="00E75B0C">
        <w:rPr>
          <w:rFonts w:ascii="Verdana" w:hAnsi="Verdana"/>
          <w:sz w:val="18"/>
          <w:szCs w:val="18"/>
        </w:rPr>
        <w:t>σχέση</w:t>
      </w:r>
      <w:r w:rsidRPr="00E75B0C">
        <w:rPr>
          <w:rFonts w:ascii="Verdana" w:hAnsi="Verdana"/>
          <w:sz w:val="18"/>
          <w:szCs w:val="18"/>
        </w:rPr>
        <w:t xml:space="preserve"> με την </w:t>
      </w:r>
      <w:r w:rsidR="009A4719" w:rsidRPr="00E75B0C">
        <w:rPr>
          <w:rFonts w:ascii="Verdana" w:hAnsi="Verdana"/>
          <w:sz w:val="18"/>
          <w:szCs w:val="18"/>
        </w:rPr>
        <w:t>επίπτωση</w:t>
      </w:r>
      <w:r w:rsidRPr="00E75B0C">
        <w:rPr>
          <w:rFonts w:ascii="Verdana" w:hAnsi="Verdana"/>
          <w:sz w:val="18"/>
          <w:szCs w:val="18"/>
        </w:rPr>
        <w:t xml:space="preserve"> τ</w:t>
      </w:r>
      <w:r w:rsidR="00685B16" w:rsidRPr="00E75B0C">
        <w:rPr>
          <w:rFonts w:ascii="Verdana" w:hAnsi="Verdana"/>
          <w:sz w:val="18"/>
          <w:szCs w:val="18"/>
        </w:rPr>
        <w:t>ους</w:t>
      </w:r>
      <w:r w:rsidRPr="00E75B0C">
        <w:rPr>
          <w:rFonts w:ascii="Verdana" w:hAnsi="Verdana"/>
          <w:sz w:val="18"/>
          <w:szCs w:val="18"/>
        </w:rPr>
        <w:t xml:space="preserve"> στην κτηματαγορά (καθώς </w:t>
      </w:r>
      <w:r w:rsidR="00685B16" w:rsidRPr="00E75B0C">
        <w:rPr>
          <w:rFonts w:ascii="Verdana" w:hAnsi="Verdana"/>
          <w:sz w:val="18"/>
          <w:szCs w:val="18"/>
        </w:rPr>
        <w:t>κάθε</w:t>
      </w:r>
      <w:r w:rsidRPr="00E75B0C">
        <w:rPr>
          <w:rFonts w:ascii="Verdana" w:hAnsi="Verdana"/>
          <w:sz w:val="18"/>
          <w:szCs w:val="18"/>
        </w:rPr>
        <w:t xml:space="preserve"> φόρος μειώνει την οικονομική δραστηριότητα ούτως ή </w:t>
      </w:r>
      <w:r w:rsidR="00685B16" w:rsidRPr="00E75B0C">
        <w:rPr>
          <w:rFonts w:ascii="Verdana" w:hAnsi="Verdana"/>
          <w:sz w:val="18"/>
          <w:szCs w:val="18"/>
        </w:rPr>
        <w:t>αλλιώς</w:t>
      </w:r>
      <w:r w:rsidRPr="00E75B0C">
        <w:rPr>
          <w:rFonts w:ascii="Verdana" w:hAnsi="Verdana"/>
          <w:sz w:val="18"/>
          <w:szCs w:val="18"/>
        </w:rPr>
        <w:t xml:space="preserve">) ή σε </w:t>
      </w:r>
      <w:r w:rsidR="009A4719" w:rsidRPr="00E75B0C">
        <w:rPr>
          <w:rFonts w:ascii="Verdana" w:hAnsi="Verdana"/>
          <w:sz w:val="18"/>
          <w:szCs w:val="18"/>
        </w:rPr>
        <w:t>σχέση</w:t>
      </w:r>
      <w:r w:rsidRPr="00E75B0C">
        <w:rPr>
          <w:rFonts w:ascii="Verdana" w:hAnsi="Verdana"/>
          <w:sz w:val="18"/>
          <w:szCs w:val="18"/>
        </w:rPr>
        <w:t xml:space="preserve"> με το εισόδημα των ιδιοκτητών. </w:t>
      </w:r>
    </w:p>
    <w:p w:rsidR="00121D08" w:rsidRPr="00E75B0C" w:rsidRDefault="00121D08">
      <w:pPr>
        <w:rPr>
          <w:rFonts w:ascii="Verdana" w:hAnsi="Verdana"/>
          <w:sz w:val="18"/>
          <w:szCs w:val="18"/>
        </w:rPr>
      </w:pPr>
      <w:r w:rsidRPr="00E75B0C">
        <w:rPr>
          <w:rFonts w:ascii="Verdana" w:hAnsi="Verdana"/>
          <w:sz w:val="18"/>
          <w:szCs w:val="18"/>
        </w:rPr>
        <w:t xml:space="preserve">Επίσης, άλλο οι φόροι </w:t>
      </w:r>
      <w:r w:rsidR="00B672FE" w:rsidRPr="00E75B0C">
        <w:rPr>
          <w:rFonts w:ascii="Verdana" w:hAnsi="Verdana"/>
          <w:sz w:val="18"/>
          <w:szCs w:val="18"/>
        </w:rPr>
        <w:t>μεταβίβασης</w:t>
      </w:r>
      <w:r w:rsidRPr="00E75B0C">
        <w:rPr>
          <w:rFonts w:ascii="Verdana" w:hAnsi="Verdana"/>
          <w:sz w:val="18"/>
          <w:szCs w:val="18"/>
        </w:rPr>
        <w:t xml:space="preserve"> (και εδώ, άλλοι οι φόροι επί αγοραπωλησιών και άλλοι οι φόροι κληρονομίας ή γονικής παροχής) και άλλο οι φόροι κατοχή</w:t>
      </w:r>
      <w:r w:rsidR="0049284D" w:rsidRPr="00E75B0C">
        <w:rPr>
          <w:rFonts w:ascii="Verdana" w:hAnsi="Verdana"/>
          <w:sz w:val="18"/>
          <w:szCs w:val="18"/>
        </w:rPr>
        <w:t>ς, που είναι επαναλαμβανόμενοι – παρ’ ότι οι φόροι κατοχής εμμέσως επηρεάζουν τις μεταβιβάσεις (αφού, διά της προεξοφλήσεώς τ</w:t>
      </w:r>
      <w:r w:rsidR="00685B16" w:rsidRPr="00E75B0C">
        <w:rPr>
          <w:rFonts w:ascii="Verdana" w:hAnsi="Verdana"/>
          <w:sz w:val="18"/>
          <w:szCs w:val="18"/>
        </w:rPr>
        <w:t>ους</w:t>
      </w:r>
      <w:r w:rsidR="0049284D" w:rsidRPr="00E75B0C">
        <w:rPr>
          <w:rFonts w:ascii="Verdana" w:hAnsi="Verdana"/>
          <w:sz w:val="18"/>
          <w:szCs w:val="18"/>
        </w:rPr>
        <w:t xml:space="preserve">, επηρεάζουν την </w:t>
      </w:r>
      <w:r w:rsidR="009A4719" w:rsidRPr="00E75B0C">
        <w:rPr>
          <w:rFonts w:ascii="Verdana" w:hAnsi="Verdana"/>
          <w:sz w:val="18"/>
          <w:szCs w:val="18"/>
        </w:rPr>
        <w:t>απόφαση</w:t>
      </w:r>
      <w:r w:rsidR="0049284D" w:rsidRPr="00E75B0C">
        <w:rPr>
          <w:rFonts w:ascii="Verdana" w:hAnsi="Verdana"/>
          <w:sz w:val="18"/>
          <w:szCs w:val="18"/>
        </w:rPr>
        <w:t xml:space="preserve"> αγοράς και διακρατήσεως ακινήτου).</w:t>
      </w:r>
      <w:r w:rsidR="002C3713" w:rsidRPr="00E75B0C">
        <w:rPr>
          <w:rFonts w:ascii="Verdana" w:hAnsi="Verdana"/>
          <w:sz w:val="18"/>
          <w:szCs w:val="18"/>
        </w:rPr>
        <w:t xml:space="preserve"> </w:t>
      </w:r>
    </w:p>
    <w:p w:rsidR="0049284D" w:rsidRPr="00E75B0C" w:rsidRDefault="0049284D">
      <w:pPr>
        <w:rPr>
          <w:rFonts w:ascii="Verdana" w:hAnsi="Verdana"/>
          <w:b/>
          <w:sz w:val="18"/>
          <w:szCs w:val="18"/>
        </w:rPr>
      </w:pPr>
      <w:r w:rsidRPr="00E75B0C">
        <w:rPr>
          <w:rFonts w:ascii="Verdana" w:hAnsi="Verdana"/>
          <w:b/>
          <w:sz w:val="18"/>
          <w:szCs w:val="18"/>
        </w:rPr>
        <w:t>Επιχειρήματα υπέρ των φόρων ακινήτων:</w:t>
      </w:r>
    </w:p>
    <w:p w:rsidR="0049284D" w:rsidRPr="00E75B0C" w:rsidRDefault="009A4719" w:rsidP="0049284D">
      <w:pPr>
        <w:pStyle w:val="a3"/>
        <w:numPr>
          <w:ilvl w:val="0"/>
          <w:numId w:val="1"/>
        </w:numPr>
        <w:rPr>
          <w:rFonts w:ascii="Verdana" w:hAnsi="Verdana"/>
          <w:sz w:val="18"/>
          <w:szCs w:val="18"/>
        </w:rPr>
      </w:pPr>
      <w:r w:rsidRPr="00E75B0C">
        <w:rPr>
          <w:rFonts w:ascii="Verdana" w:hAnsi="Verdana"/>
          <w:sz w:val="18"/>
          <w:szCs w:val="18"/>
        </w:rPr>
        <w:t>Έχουν</w:t>
      </w:r>
      <w:r w:rsidR="0049284D" w:rsidRPr="00E75B0C">
        <w:rPr>
          <w:rFonts w:ascii="Verdana" w:hAnsi="Verdana"/>
          <w:sz w:val="18"/>
          <w:szCs w:val="18"/>
        </w:rPr>
        <w:t xml:space="preserve"> </w:t>
      </w:r>
      <w:r w:rsidR="00685B16" w:rsidRPr="00E75B0C">
        <w:rPr>
          <w:rFonts w:ascii="Verdana" w:hAnsi="Verdana"/>
          <w:sz w:val="18"/>
          <w:szCs w:val="18"/>
        </w:rPr>
        <w:t>μικρότερη</w:t>
      </w:r>
      <w:r w:rsidR="0049284D" w:rsidRPr="00E75B0C">
        <w:rPr>
          <w:rFonts w:ascii="Verdana" w:hAnsi="Verdana"/>
          <w:sz w:val="18"/>
          <w:szCs w:val="18"/>
        </w:rPr>
        <w:t xml:space="preserve"> </w:t>
      </w:r>
      <w:r w:rsidRPr="00E75B0C">
        <w:rPr>
          <w:rFonts w:ascii="Verdana" w:hAnsi="Verdana"/>
          <w:sz w:val="18"/>
          <w:szCs w:val="18"/>
        </w:rPr>
        <w:t>επίπτωση</w:t>
      </w:r>
      <w:r w:rsidR="0049284D" w:rsidRPr="00E75B0C">
        <w:rPr>
          <w:rFonts w:ascii="Verdana" w:hAnsi="Verdana"/>
          <w:sz w:val="18"/>
          <w:szCs w:val="18"/>
        </w:rPr>
        <w:t xml:space="preserve"> στην οικονομική </w:t>
      </w:r>
      <w:r w:rsidRPr="00E75B0C">
        <w:rPr>
          <w:rFonts w:ascii="Verdana" w:hAnsi="Verdana"/>
          <w:sz w:val="18"/>
          <w:szCs w:val="18"/>
        </w:rPr>
        <w:t>ανάπτυξη</w:t>
      </w:r>
      <w:r w:rsidR="00685B16" w:rsidRPr="00E75B0C">
        <w:rPr>
          <w:rFonts w:ascii="Verdana" w:hAnsi="Verdana"/>
          <w:sz w:val="18"/>
          <w:szCs w:val="18"/>
        </w:rPr>
        <w:t xml:space="preserve"> απ’ ό</w:t>
      </w:r>
      <w:r w:rsidR="0049284D" w:rsidRPr="00E75B0C">
        <w:rPr>
          <w:rFonts w:ascii="Verdana" w:hAnsi="Verdana"/>
          <w:sz w:val="18"/>
          <w:szCs w:val="18"/>
        </w:rPr>
        <w:t>τι άλλα είδη φόρων.</w:t>
      </w:r>
    </w:p>
    <w:p w:rsidR="0049284D" w:rsidRPr="00E75B0C" w:rsidRDefault="001961B0" w:rsidP="001961B0">
      <w:pPr>
        <w:pStyle w:val="a3"/>
        <w:numPr>
          <w:ilvl w:val="0"/>
          <w:numId w:val="1"/>
        </w:numPr>
        <w:rPr>
          <w:rFonts w:ascii="Verdana" w:hAnsi="Verdana"/>
          <w:sz w:val="18"/>
          <w:szCs w:val="18"/>
        </w:rPr>
      </w:pPr>
      <w:r w:rsidRPr="00E75B0C">
        <w:rPr>
          <w:rFonts w:ascii="Verdana" w:hAnsi="Verdana"/>
          <w:sz w:val="18"/>
          <w:szCs w:val="18"/>
        </w:rPr>
        <w:t xml:space="preserve">Το ότι επιβαρύνουν την </w:t>
      </w:r>
      <w:r w:rsidR="009A4719" w:rsidRPr="00E75B0C">
        <w:rPr>
          <w:rFonts w:ascii="Verdana" w:hAnsi="Verdana"/>
          <w:sz w:val="18"/>
          <w:szCs w:val="18"/>
        </w:rPr>
        <w:t>απόκτηση</w:t>
      </w:r>
      <w:r w:rsidRPr="00E75B0C">
        <w:rPr>
          <w:rFonts w:ascii="Verdana" w:hAnsi="Verdana"/>
          <w:sz w:val="18"/>
          <w:szCs w:val="18"/>
        </w:rPr>
        <w:t xml:space="preserve"> / κατοχή ακινήτων είναι καλό διότι έτσι ενθαρρύνονται άλλες μορφές «παραγωγικών» επενδύσεων, που, υποτίθεται, συμβάλλουν περισσότερο στην οικονομική </w:t>
      </w:r>
      <w:r w:rsidR="009A4719" w:rsidRPr="00E75B0C">
        <w:rPr>
          <w:rFonts w:ascii="Verdana" w:hAnsi="Verdana"/>
          <w:sz w:val="18"/>
          <w:szCs w:val="18"/>
        </w:rPr>
        <w:t>ανάπτυξη</w:t>
      </w:r>
      <w:r w:rsidRPr="00E75B0C">
        <w:rPr>
          <w:rFonts w:ascii="Verdana" w:hAnsi="Verdana"/>
          <w:sz w:val="18"/>
          <w:szCs w:val="18"/>
        </w:rPr>
        <w:t>.</w:t>
      </w:r>
    </w:p>
    <w:p w:rsidR="0049284D" w:rsidRPr="00E75B0C" w:rsidRDefault="0049284D" w:rsidP="0049284D">
      <w:pPr>
        <w:pStyle w:val="a3"/>
        <w:numPr>
          <w:ilvl w:val="0"/>
          <w:numId w:val="1"/>
        </w:numPr>
        <w:rPr>
          <w:rFonts w:ascii="Verdana" w:hAnsi="Verdana"/>
          <w:sz w:val="18"/>
          <w:szCs w:val="18"/>
        </w:rPr>
      </w:pPr>
      <w:r w:rsidRPr="00E75B0C">
        <w:rPr>
          <w:rFonts w:ascii="Verdana" w:hAnsi="Verdana"/>
          <w:sz w:val="18"/>
          <w:szCs w:val="18"/>
        </w:rPr>
        <w:t xml:space="preserve">Το αντικείμενο του φόρου δεν κρύβεται, άρα αυτοί οι φόροι έχουν, υποτίθεται, εύκολη </w:t>
      </w:r>
      <w:r w:rsidR="0061670E" w:rsidRPr="00E75B0C">
        <w:rPr>
          <w:rFonts w:ascii="Verdana" w:hAnsi="Verdana"/>
          <w:sz w:val="18"/>
          <w:szCs w:val="18"/>
        </w:rPr>
        <w:t>και μεγ</w:t>
      </w:r>
      <w:r w:rsidR="009926DC" w:rsidRPr="00E75B0C">
        <w:rPr>
          <w:rFonts w:ascii="Verdana" w:hAnsi="Verdana"/>
          <w:sz w:val="18"/>
          <w:szCs w:val="18"/>
        </w:rPr>
        <w:t xml:space="preserve">άλη </w:t>
      </w:r>
      <w:r w:rsidRPr="00E75B0C">
        <w:rPr>
          <w:rFonts w:ascii="Verdana" w:hAnsi="Verdana"/>
          <w:sz w:val="18"/>
          <w:szCs w:val="18"/>
        </w:rPr>
        <w:t>εισπραξιμότητα.</w:t>
      </w:r>
    </w:p>
    <w:p w:rsidR="006C680C" w:rsidRPr="00E75B0C" w:rsidRDefault="006C680C" w:rsidP="0049284D">
      <w:pPr>
        <w:pStyle w:val="a3"/>
        <w:numPr>
          <w:ilvl w:val="0"/>
          <w:numId w:val="1"/>
        </w:numPr>
        <w:rPr>
          <w:rFonts w:ascii="Verdana" w:hAnsi="Verdana"/>
          <w:sz w:val="18"/>
          <w:szCs w:val="18"/>
        </w:rPr>
      </w:pPr>
      <w:r w:rsidRPr="00E75B0C">
        <w:rPr>
          <w:rFonts w:ascii="Verdana" w:hAnsi="Verdana"/>
          <w:sz w:val="18"/>
          <w:szCs w:val="18"/>
        </w:rPr>
        <w:t xml:space="preserve">Η συλλογή στοιχείων, που επιτρέπει τον υπολογισμό του φόρου, παρέχει επίσης την πληροφοριακή </w:t>
      </w:r>
      <w:r w:rsidR="009A4719" w:rsidRPr="00E75B0C">
        <w:rPr>
          <w:rFonts w:ascii="Verdana" w:hAnsi="Verdana"/>
          <w:sz w:val="18"/>
          <w:szCs w:val="18"/>
        </w:rPr>
        <w:t>βάση</w:t>
      </w:r>
      <w:r w:rsidRPr="00E75B0C">
        <w:rPr>
          <w:rFonts w:ascii="Verdana" w:hAnsi="Verdana"/>
          <w:sz w:val="18"/>
          <w:szCs w:val="18"/>
        </w:rPr>
        <w:t xml:space="preserve"> για επεξεργασία άλλων πολιτικών, από </w:t>
      </w:r>
      <w:r w:rsidR="00685B16" w:rsidRPr="00E75B0C">
        <w:rPr>
          <w:rFonts w:ascii="Verdana" w:hAnsi="Verdana"/>
          <w:sz w:val="18"/>
          <w:szCs w:val="18"/>
        </w:rPr>
        <w:t>δημόσιους</w:t>
      </w:r>
      <w:r w:rsidRPr="00E75B0C">
        <w:rPr>
          <w:rFonts w:ascii="Verdana" w:hAnsi="Verdana"/>
          <w:sz w:val="18"/>
          <w:szCs w:val="18"/>
        </w:rPr>
        <w:t xml:space="preserve"> και </w:t>
      </w:r>
      <w:r w:rsidR="00685B16" w:rsidRPr="00E75B0C">
        <w:rPr>
          <w:rFonts w:ascii="Verdana" w:hAnsi="Verdana"/>
          <w:sz w:val="18"/>
          <w:szCs w:val="18"/>
        </w:rPr>
        <w:t>ιδιωτικούς φορείς, στο</w:t>
      </w:r>
      <w:r w:rsidRPr="00E75B0C">
        <w:rPr>
          <w:rFonts w:ascii="Verdana" w:hAnsi="Verdana"/>
          <w:sz w:val="18"/>
          <w:szCs w:val="18"/>
        </w:rPr>
        <w:t xml:space="preserve"> χώρο τ</w:t>
      </w:r>
      <w:r w:rsidR="00685B16" w:rsidRPr="00E75B0C">
        <w:rPr>
          <w:rFonts w:ascii="Verdana" w:hAnsi="Verdana"/>
          <w:sz w:val="18"/>
          <w:szCs w:val="18"/>
        </w:rPr>
        <w:t>ου</w:t>
      </w:r>
      <w:r w:rsidRPr="00E75B0C">
        <w:rPr>
          <w:rFonts w:ascii="Verdana" w:hAnsi="Verdana"/>
          <w:sz w:val="18"/>
          <w:szCs w:val="18"/>
        </w:rPr>
        <w:t xml:space="preserve"> </w:t>
      </w:r>
      <w:r w:rsidRPr="00E75B0C">
        <w:rPr>
          <w:rFonts w:ascii="Verdana" w:hAnsi="Verdana"/>
          <w:sz w:val="18"/>
          <w:szCs w:val="18"/>
          <w:lang w:val="en-US"/>
        </w:rPr>
        <w:t>real</w:t>
      </w:r>
      <w:r w:rsidRPr="00E75B0C">
        <w:rPr>
          <w:rFonts w:ascii="Verdana" w:hAnsi="Verdana"/>
          <w:sz w:val="18"/>
          <w:szCs w:val="18"/>
        </w:rPr>
        <w:t xml:space="preserve"> </w:t>
      </w:r>
      <w:r w:rsidRPr="00E75B0C">
        <w:rPr>
          <w:rFonts w:ascii="Verdana" w:hAnsi="Verdana"/>
          <w:sz w:val="18"/>
          <w:szCs w:val="18"/>
          <w:lang w:val="en-US"/>
        </w:rPr>
        <w:t>estate</w:t>
      </w:r>
      <w:r w:rsidRPr="00E75B0C">
        <w:rPr>
          <w:rFonts w:ascii="Verdana" w:hAnsi="Verdana"/>
          <w:sz w:val="18"/>
          <w:szCs w:val="18"/>
        </w:rPr>
        <w:t xml:space="preserve"> [βλ. </w:t>
      </w:r>
      <w:r w:rsidRPr="00E75B0C">
        <w:rPr>
          <w:rFonts w:ascii="Verdana" w:hAnsi="Verdana"/>
          <w:sz w:val="18"/>
          <w:szCs w:val="18"/>
          <w:lang w:val="en-US"/>
        </w:rPr>
        <w:t>UNO</w:t>
      </w:r>
      <w:r w:rsidRPr="00E75B0C">
        <w:rPr>
          <w:rFonts w:ascii="Verdana" w:hAnsi="Verdana"/>
          <w:sz w:val="18"/>
          <w:szCs w:val="18"/>
        </w:rPr>
        <w:t xml:space="preserve"> </w:t>
      </w:r>
      <w:r w:rsidRPr="00E75B0C">
        <w:rPr>
          <w:rFonts w:ascii="Verdana" w:hAnsi="Verdana"/>
          <w:sz w:val="18"/>
          <w:szCs w:val="18"/>
          <w:lang w:val="en-US"/>
        </w:rPr>
        <w:t>Habitat</w:t>
      </w:r>
      <w:r w:rsidRPr="00E75B0C">
        <w:rPr>
          <w:rFonts w:ascii="Verdana" w:hAnsi="Verdana"/>
          <w:sz w:val="18"/>
          <w:szCs w:val="18"/>
        </w:rPr>
        <w:t xml:space="preserve"> (2013): </w:t>
      </w:r>
      <w:r w:rsidRPr="00E75B0C">
        <w:rPr>
          <w:rFonts w:ascii="Verdana" w:hAnsi="Verdana"/>
          <w:sz w:val="18"/>
          <w:szCs w:val="18"/>
          <w:lang w:val="en-US"/>
        </w:rPr>
        <w:t>Property</w:t>
      </w:r>
      <w:r w:rsidRPr="00E75B0C">
        <w:rPr>
          <w:rFonts w:ascii="Verdana" w:hAnsi="Verdana"/>
          <w:sz w:val="18"/>
          <w:szCs w:val="18"/>
        </w:rPr>
        <w:t xml:space="preserve"> </w:t>
      </w:r>
      <w:r w:rsidRPr="00E75B0C">
        <w:rPr>
          <w:rFonts w:ascii="Verdana" w:hAnsi="Verdana"/>
          <w:sz w:val="18"/>
          <w:szCs w:val="18"/>
          <w:lang w:val="en-US"/>
        </w:rPr>
        <w:t>tax</w:t>
      </w:r>
      <w:r w:rsidRPr="00E75B0C">
        <w:rPr>
          <w:rFonts w:ascii="Verdana" w:hAnsi="Verdana"/>
          <w:sz w:val="18"/>
          <w:szCs w:val="18"/>
        </w:rPr>
        <w:t xml:space="preserve"> </w:t>
      </w:r>
      <w:r w:rsidRPr="00E75B0C">
        <w:rPr>
          <w:rFonts w:ascii="Verdana" w:hAnsi="Verdana"/>
          <w:sz w:val="18"/>
          <w:szCs w:val="18"/>
          <w:lang w:val="en-US"/>
        </w:rPr>
        <w:t>regimes</w:t>
      </w:r>
      <w:r w:rsidRPr="00E75B0C">
        <w:rPr>
          <w:rFonts w:ascii="Verdana" w:hAnsi="Verdana"/>
          <w:sz w:val="18"/>
          <w:szCs w:val="18"/>
        </w:rPr>
        <w:t xml:space="preserve"> </w:t>
      </w:r>
      <w:r w:rsidRPr="00E75B0C">
        <w:rPr>
          <w:rFonts w:ascii="Verdana" w:hAnsi="Verdana"/>
          <w:sz w:val="18"/>
          <w:szCs w:val="18"/>
          <w:lang w:val="en-US"/>
        </w:rPr>
        <w:t>in</w:t>
      </w:r>
      <w:r w:rsidRPr="00E75B0C">
        <w:rPr>
          <w:rFonts w:ascii="Verdana" w:hAnsi="Verdana"/>
          <w:sz w:val="18"/>
          <w:szCs w:val="18"/>
        </w:rPr>
        <w:t xml:space="preserve"> </w:t>
      </w:r>
      <w:r w:rsidRPr="00E75B0C">
        <w:rPr>
          <w:rFonts w:ascii="Verdana" w:hAnsi="Verdana"/>
          <w:sz w:val="18"/>
          <w:szCs w:val="18"/>
          <w:lang w:val="en-US"/>
        </w:rPr>
        <w:t>Europe</w:t>
      </w:r>
      <w:r w:rsidRPr="00E75B0C">
        <w:rPr>
          <w:rFonts w:ascii="Verdana" w:hAnsi="Verdana"/>
          <w:sz w:val="18"/>
          <w:szCs w:val="18"/>
        </w:rPr>
        <w:t xml:space="preserve">, </w:t>
      </w:r>
      <w:r w:rsidRPr="00E75B0C">
        <w:rPr>
          <w:rFonts w:ascii="Verdana" w:hAnsi="Verdana"/>
          <w:sz w:val="18"/>
          <w:szCs w:val="18"/>
          <w:lang w:val="en-US"/>
        </w:rPr>
        <w:t>p</w:t>
      </w:r>
      <w:r w:rsidRPr="00E75B0C">
        <w:rPr>
          <w:rFonts w:ascii="Verdana" w:hAnsi="Verdana"/>
          <w:sz w:val="18"/>
          <w:szCs w:val="18"/>
        </w:rPr>
        <w:t>. 2].</w:t>
      </w:r>
    </w:p>
    <w:p w:rsidR="0049284D" w:rsidRPr="00E75B0C" w:rsidRDefault="002C3713" w:rsidP="0049284D">
      <w:pPr>
        <w:pStyle w:val="a3"/>
        <w:numPr>
          <w:ilvl w:val="0"/>
          <w:numId w:val="1"/>
        </w:numPr>
        <w:rPr>
          <w:rFonts w:ascii="Verdana" w:hAnsi="Verdana"/>
          <w:sz w:val="18"/>
          <w:szCs w:val="18"/>
        </w:rPr>
      </w:pPr>
      <w:r w:rsidRPr="00E75B0C">
        <w:rPr>
          <w:rFonts w:ascii="Verdana" w:hAnsi="Verdana"/>
          <w:sz w:val="18"/>
          <w:szCs w:val="18"/>
        </w:rPr>
        <w:t>Ειδικά οι φόροι κατοχής σ</w:t>
      </w:r>
      <w:r w:rsidR="0049284D" w:rsidRPr="00E75B0C">
        <w:rPr>
          <w:rFonts w:ascii="Verdana" w:hAnsi="Verdana"/>
          <w:sz w:val="18"/>
          <w:szCs w:val="18"/>
        </w:rPr>
        <w:t>υμβάλλουν σε κοινωνική – οικονομική «δικαιοσύνη» και «ισότητα», ακριβώς επειδή επιβαρύνουν περιουσία – συχνά, άλλωστε, η τελευτα</w:t>
      </w:r>
      <w:r w:rsidR="00685B16" w:rsidRPr="00E75B0C">
        <w:rPr>
          <w:rFonts w:ascii="Verdana" w:hAnsi="Verdana"/>
          <w:sz w:val="18"/>
          <w:szCs w:val="18"/>
        </w:rPr>
        <w:t>ία έχει προέλθει από εισοδήματα</w:t>
      </w:r>
      <w:r w:rsidR="0049284D" w:rsidRPr="00E75B0C">
        <w:rPr>
          <w:rFonts w:ascii="Verdana" w:hAnsi="Verdana"/>
          <w:sz w:val="18"/>
          <w:szCs w:val="18"/>
        </w:rPr>
        <w:t xml:space="preserve"> που δεν έχουν </w:t>
      </w:r>
      <w:r w:rsidR="009A4719" w:rsidRPr="00E75B0C">
        <w:rPr>
          <w:rFonts w:ascii="Verdana" w:hAnsi="Verdana"/>
          <w:sz w:val="18"/>
          <w:szCs w:val="18"/>
        </w:rPr>
        <w:t>δηλωθεί</w:t>
      </w:r>
      <w:r w:rsidR="0049284D" w:rsidRPr="00E75B0C">
        <w:rPr>
          <w:rFonts w:ascii="Verdana" w:hAnsi="Verdana"/>
          <w:sz w:val="18"/>
          <w:szCs w:val="18"/>
        </w:rPr>
        <w:t xml:space="preserve"> και </w:t>
      </w:r>
      <w:r w:rsidR="009A4719" w:rsidRPr="00E75B0C">
        <w:rPr>
          <w:rFonts w:ascii="Verdana" w:hAnsi="Verdana"/>
          <w:sz w:val="18"/>
          <w:szCs w:val="18"/>
        </w:rPr>
        <w:t>φορολογηθεί</w:t>
      </w:r>
      <w:r w:rsidR="0049284D" w:rsidRPr="00E75B0C">
        <w:rPr>
          <w:rFonts w:ascii="Verdana" w:hAnsi="Verdana"/>
          <w:sz w:val="18"/>
          <w:szCs w:val="18"/>
        </w:rPr>
        <w:t xml:space="preserve">. </w:t>
      </w:r>
    </w:p>
    <w:p w:rsidR="00A678F2" w:rsidRPr="00E75B0C" w:rsidRDefault="009A4719" w:rsidP="0049284D">
      <w:pPr>
        <w:pStyle w:val="a3"/>
        <w:numPr>
          <w:ilvl w:val="0"/>
          <w:numId w:val="1"/>
        </w:numPr>
        <w:rPr>
          <w:rFonts w:ascii="Verdana" w:hAnsi="Verdana"/>
          <w:sz w:val="18"/>
          <w:szCs w:val="18"/>
        </w:rPr>
      </w:pPr>
      <w:r w:rsidRPr="00E75B0C">
        <w:rPr>
          <w:rFonts w:ascii="Verdana" w:hAnsi="Verdana"/>
          <w:sz w:val="18"/>
          <w:szCs w:val="18"/>
        </w:rPr>
        <w:t>Όταν</w:t>
      </w:r>
      <w:r w:rsidR="00596BA9" w:rsidRPr="00E75B0C">
        <w:rPr>
          <w:rFonts w:ascii="Verdana" w:hAnsi="Verdana"/>
          <w:sz w:val="18"/>
          <w:szCs w:val="18"/>
        </w:rPr>
        <w:t xml:space="preserve"> χρηματοδοτούν την ΤΑ, αυτοί οι φόροι (στην </w:t>
      </w:r>
      <w:r w:rsidRPr="00E75B0C">
        <w:rPr>
          <w:rFonts w:ascii="Verdana" w:hAnsi="Verdana"/>
          <w:sz w:val="18"/>
          <w:szCs w:val="18"/>
        </w:rPr>
        <w:t>πράξη</w:t>
      </w:r>
      <w:r w:rsidR="00596BA9" w:rsidRPr="00E75B0C">
        <w:rPr>
          <w:rFonts w:ascii="Verdana" w:hAnsi="Verdana"/>
          <w:sz w:val="18"/>
          <w:szCs w:val="18"/>
        </w:rPr>
        <w:t>, οι φόροι κατοχής) είναι άκρως</w:t>
      </w:r>
      <w:r w:rsidR="00A678F2" w:rsidRPr="00E75B0C">
        <w:rPr>
          <w:rFonts w:ascii="Verdana" w:hAnsi="Verdana"/>
          <w:sz w:val="18"/>
          <w:szCs w:val="18"/>
        </w:rPr>
        <w:t xml:space="preserve"> ανταποδοτικοί. </w:t>
      </w:r>
    </w:p>
    <w:p w:rsidR="0049284D" w:rsidRPr="00E75B0C" w:rsidRDefault="00A678F2" w:rsidP="0049284D">
      <w:pPr>
        <w:pStyle w:val="a3"/>
        <w:numPr>
          <w:ilvl w:val="0"/>
          <w:numId w:val="1"/>
        </w:numPr>
        <w:rPr>
          <w:rFonts w:ascii="Verdana" w:hAnsi="Verdana"/>
          <w:sz w:val="18"/>
          <w:szCs w:val="18"/>
        </w:rPr>
      </w:pPr>
      <w:r w:rsidRPr="00E75B0C">
        <w:rPr>
          <w:rFonts w:ascii="Verdana" w:hAnsi="Verdana"/>
          <w:sz w:val="18"/>
          <w:szCs w:val="18"/>
        </w:rPr>
        <w:lastRenderedPageBreak/>
        <w:t xml:space="preserve">Η ροή εσόδων από φόρους κατοχής ακινήτων </w:t>
      </w:r>
      <w:r w:rsidR="00596BA9" w:rsidRPr="00E75B0C">
        <w:rPr>
          <w:rFonts w:ascii="Verdana" w:hAnsi="Verdana"/>
          <w:sz w:val="18"/>
          <w:szCs w:val="18"/>
        </w:rPr>
        <w:t xml:space="preserve">είναι </w:t>
      </w:r>
      <w:r w:rsidR="009A4719" w:rsidRPr="00E75B0C">
        <w:rPr>
          <w:rFonts w:ascii="Verdana" w:hAnsi="Verdana"/>
          <w:sz w:val="18"/>
          <w:szCs w:val="18"/>
        </w:rPr>
        <w:t>πιο</w:t>
      </w:r>
      <w:r w:rsidR="00596BA9" w:rsidRPr="00E75B0C">
        <w:rPr>
          <w:rFonts w:ascii="Verdana" w:hAnsi="Verdana"/>
          <w:sz w:val="18"/>
          <w:szCs w:val="18"/>
        </w:rPr>
        <w:t xml:space="preserve"> ομαλή και π</w:t>
      </w:r>
      <w:r w:rsidR="009A4719" w:rsidRPr="00E75B0C">
        <w:rPr>
          <w:rFonts w:ascii="Verdana" w:hAnsi="Verdana"/>
          <w:sz w:val="18"/>
          <w:szCs w:val="18"/>
        </w:rPr>
        <w:t xml:space="preserve">ροβλέψιμη από </w:t>
      </w:r>
      <w:r w:rsidR="00E50744" w:rsidRPr="00E75B0C">
        <w:rPr>
          <w:rFonts w:ascii="Verdana" w:hAnsi="Verdana"/>
          <w:sz w:val="18"/>
          <w:szCs w:val="18"/>
        </w:rPr>
        <w:t>ότι</w:t>
      </w:r>
      <w:r w:rsidR="009A4719" w:rsidRPr="00E75B0C">
        <w:rPr>
          <w:rFonts w:ascii="Verdana" w:hAnsi="Verdana"/>
          <w:sz w:val="18"/>
          <w:szCs w:val="18"/>
        </w:rPr>
        <w:t xml:space="preserve"> συμβαίνει ή </w:t>
      </w:r>
      <w:r w:rsidR="00596BA9" w:rsidRPr="00E75B0C">
        <w:rPr>
          <w:rFonts w:ascii="Verdana" w:hAnsi="Verdana"/>
          <w:sz w:val="18"/>
          <w:szCs w:val="18"/>
        </w:rPr>
        <w:t xml:space="preserve">μπορεί </w:t>
      </w:r>
      <w:r w:rsidR="00685B16" w:rsidRPr="00E75B0C">
        <w:rPr>
          <w:rFonts w:ascii="Verdana" w:hAnsi="Verdana"/>
          <w:sz w:val="18"/>
          <w:szCs w:val="18"/>
        </w:rPr>
        <w:t>να συμβαίνει με τα έσοδα απ’ τη</w:t>
      </w:r>
      <w:r w:rsidR="00596BA9" w:rsidRPr="00E75B0C">
        <w:rPr>
          <w:rFonts w:ascii="Verdana" w:hAnsi="Verdana"/>
          <w:sz w:val="18"/>
          <w:szCs w:val="18"/>
        </w:rPr>
        <w:t xml:space="preserve"> </w:t>
      </w:r>
      <w:r w:rsidR="009A4719" w:rsidRPr="00E75B0C">
        <w:rPr>
          <w:rFonts w:ascii="Verdana" w:hAnsi="Verdana"/>
          <w:sz w:val="18"/>
          <w:szCs w:val="18"/>
        </w:rPr>
        <w:t>φορολόγηση</w:t>
      </w:r>
      <w:r w:rsidR="00596BA9" w:rsidRPr="00E75B0C">
        <w:rPr>
          <w:rFonts w:ascii="Verdana" w:hAnsi="Verdana"/>
          <w:sz w:val="18"/>
          <w:szCs w:val="18"/>
        </w:rPr>
        <w:t xml:space="preserve"> εισοδημάτων, τα οποία υπόκεινται </w:t>
      </w:r>
      <w:r w:rsidR="009A4719" w:rsidRPr="00E75B0C">
        <w:rPr>
          <w:rFonts w:ascii="Verdana" w:hAnsi="Verdana"/>
          <w:sz w:val="18"/>
          <w:szCs w:val="18"/>
        </w:rPr>
        <w:t>αμεσότερα</w:t>
      </w:r>
      <w:r w:rsidR="00C106AD" w:rsidRPr="00E75B0C">
        <w:rPr>
          <w:rFonts w:ascii="Verdana" w:hAnsi="Verdana"/>
          <w:sz w:val="18"/>
          <w:szCs w:val="18"/>
        </w:rPr>
        <w:t xml:space="preserve"> </w:t>
      </w:r>
      <w:r w:rsidR="00596BA9" w:rsidRPr="00E75B0C">
        <w:rPr>
          <w:rFonts w:ascii="Verdana" w:hAnsi="Verdana"/>
          <w:sz w:val="18"/>
          <w:szCs w:val="18"/>
        </w:rPr>
        <w:t xml:space="preserve">στις διακυμάνσεις του οικονομικού κύκλου. </w:t>
      </w:r>
    </w:p>
    <w:p w:rsidR="002C3713" w:rsidRPr="00E75B0C" w:rsidRDefault="002C3713" w:rsidP="0049284D">
      <w:pPr>
        <w:pStyle w:val="a3"/>
        <w:numPr>
          <w:ilvl w:val="0"/>
          <w:numId w:val="1"/>
        </w:numPr>
        <w:rPr>
          <w:rFonts w:ascii="Verdana" w:hAnsi="Verdana"/>
          <w:sz w:val="18"/>
          <w:szCs w:val="18"/>
        </w:rPr>
      </w:pPr>
      <w:r w:rsidRPr="00E75B0C">
        <w:rPr>
          <w:rFonts w:ascii="Verdana" w:hAnsi="Verdana"/>
          <w:sz w:val="18"/>
          <w:szCs w:val="18"/>
        </w:rPr>
        <w:t xml:space="preserve">Οι φόροι </w:t>
      </w:r>
      <w:r w:rsidR="00B672FE" w:rsidRPr="00E75B0C">
        <w:rPr>
          <w:rFonts w:ascii="Verdana" w:hAnsi="Verdana"/>
          <w:sz w:val="18"/>
          <w:szCs w:val="18"/>
        </w:rPr>
        <w:t>μεταβίβασης</w:t>
      </w:r>
      <w:r w:rsidRPr="00E75B0C">
        <w:rPr>
          <w:rFonts w:ascii="Verdana" w:hAnsi="Verdana"/>
          <w:sz w:val="18"/>
          <w:szCs w:val="18"/>
        </w:rPr>
        <w:t>, ειδικότερα, έχουν και ένα άλλο πλεονέ</w:t>
      </w:r>
      <w:r w:rsidR="009A4719" w:rsidRPr="00E75B0C">
        <w:rPr>
          <w:rFonts w:ascii="Verdana" w:hAnsi="Verdana"/>
          <w:sz w:val="18"/>
          <w:szCs w:val="18"/>
        </w:rPr>
        <w:t xml:space="preserve">κτημα, πέραν του ότι </w:t>
      </w:r>
      <w:r w:rsidR="00685B16" w:rsidRPr="00E75B0C">
        <w:rPr>
          <w:rFonts w:ascii="Verdana" w:hAnsi="Verdana"/>
          <w:sz w:val="18"/>
          <w:szCs w:val="18"/>
        </w:rPr>
        <w:t>εξαιτίας αυτών</w:t>
      </w:r>
      <w:r w:rsidR="009A4719" w:rsidRPr="00E75B0C">
        <w:rPr>
          <w:rFonts w:ascii="Verdana" w:hAnsi="Verdana"/>
          <w:sz w:val="18"/>
          <w:szCs w:val="18"/>
        </w:rPr>
        <w:t xml:space="preserve"> </w:t>
      </w:r>
      <w:r w:rsidRPr="00E75B0C">
        <w:rPr>
          <w:rFonts w:ascii="Verdana" w:hAnsi="Verdana"/>
          <w:sz w:val="18"/>
          <w:szCs w:val="18"/>
        </w:rPr>
        <w:t xml:space="preserve">μπορεί ν’ </w:t>
      </w:r>
      <w:r w:rsidR="009A4719" w:rsidRPr="00E75B0C">
        <w:rPr>
          <w:rFonts w:ascii="Verdana" w:hAnsi="Verdana"/>
          <w:sz w:val="18"/>
          <w:szCs w:val="18"/>
        </w:rPr>
        <w:t>αποθαρρύνονται</w:t>
      </w:r>
      <w:r w:rsidRPr="00E75B0C">
        <w:rPr>
          <w:rFonts w:ascii="Verdana" w:hAnsi="Verdana"/>
          <w:sz w:val="18"/>
          <w:szCs w:val="18"/>
        </w:rPr>
        <w:t xml:space="preserve"> «υπερβο</w:t>
      </w:r>
      <w:r w:rsidR="00520443" w:rsidRPr="00E75B0C">
        <w:rPr>
          <w:rFonts w:ascii="Verdana" w:hAnsi="Verdana"/>
          <w:sz w:val="18"/>
          <w:szCs w:val="18"/>
        </w:rPr>
        <w:t>λικές» επενδύσεις σε ακίνητα: Μ</w:t>
      </w:r>
      <w:r w:rsidR="009A4719" w:rsidRPr="00E75B0C">
        <w:rPr>
          <w:rFonts w:ascii="Verdana" w:hAnsi="Verdana"/>
          <w:sz w:val="18"/>
          <w:szCs w:val="18"/>
        </w:rPr>
        <w:t xml:space="preserve">ε τον κατάλληλο χειρισμό αυτών </w:t>
      </w:r>
      <w:r w:rsidR="00520443" w:rsidRPr="00E75B0C">
        <w:rPr>
          <w:rFonts w:ascii="Verdana" w:hAnsi="Verdana"/>
          <w:sz w:val="18"/>
          <w:szCs w:val="18"/>
        </w:rPr>
        <w:t>μ</w:t>
      </w:r>
      <w:r w:rsidRPr="00E75B0C">
        <w:rPr>
          <w:rFonts w:ascii="Verdana" w:hAnsi="Verdana"/>
          <w:sz w:val="18"/>
          <w:szCs w:val="18"/>
        </w:rPr>
        <w:t xml:space="preserve">πορούν (τόσο ως φόρος επί της τιμής ή αξίας του ακινήτου, όσο </w:t>
      </w:r>
      <w:r w:rsidR="00685B16" w:rsidRPr="00E75B0C">
        <w:rPr>
          <w:rFonts w:ascii="Verdana" w:hAnsi="Verdana"/>
          <w:sz w:val="18"/>
          <w:szCs w:val="18"/>
        </w:rPr>
        <w:t xml:space="preserve">και </w:t>
      </w:r>
      <w:r w:rsidRPr="00E75B0C">
        <w:rPr>
          <w:rFonts w:ascii="Verdana" w:hAnsi="Verdana"/>
          <w:sz w:val="18"/>
          <w:szCs w:val="18"/>
        </w:rPr>
        <w:t xml:space="preserve">ως φόρος υπεραξίας) να εμποδίζουν </w:t>
      </w:r>
      <w:r w:rsidR="007835C5" w:rsidRPr="00E75B0C">
        <w:rPr>
          <w:rFonts w:ascii="Verdana" w:hAnsi="Verdana"/>
          <w:sz w:val="18"/>
          <w:szCs w:val="18"/>
        </w:rPr>
        <w:t xml:space="preserve">ευθέως </w:t>
      </w:r>
      <w:r w:rsidRPr="00E75B0C">
        <w:rPr>
          <w:rFonts w:ascii="Verdana" w:hAnsi="Verdana"/>
          <w:sz w:val="18"/>
          <w:szCs w:val="18"/>
        </w:rPr>
        <w:t>το σχηματισμ</w:t>
      </w:r>
      <w:r w:rsidR="007835C5" w:rsidRPr="00E75B0C">
        <w:rPr>
          <w:rFonts w:ascii="Verdana" w:hAnsi="Verdana"/>
          <w:sz w:val="18"/>
          <w:szCs w:val="18"/>
        </w:rPr>
        <w:t xml:space="preserve">ό «φούσκας» στην αγορά ακινήτων (ενώ οι φόροι κατοχής μπορούν να έχουν </w:t>
      </w:r>
      <w:r w:rsidR="009A4719" w:rsidRPr="00E75B0C">
        <w:rPr>
          <w:rFonts w:ascii="Verdana" w:hAnsi="Verdana"/>
          <w:sz w:val="18"/>
          <w:szCs w:val="18"/>
        </w:rPr>
        <w:t>παρόμοια</w:t>
      </w:r>
      <w:r w:rsidR="007835C5" w:rsidRPr="00E75B0C">
        <w:rPr>
          <w:rFonts w:ascii="Verdana" w:hAnsi="Verdana"/>
          <w:sz w:val="18"/>
          <w:szCs w:val="18"/>
        </w:rPr>
        <w:t xml:space="preserve"> </w:t>
      </w:r>
      <w:r w:rsidR="009A4719" w:rsidRPr="00E75B0C">
        <w:rPr>
          <w:rFonts w:ascii="Verdana" w:hAnsi="Verdana"/>
          <w:sz w:val="18"/>
          <w:szCs w:val="18"/>
        </w:rPr>
        <w:t>συνέπεια, αλλά</w:t>
      </w:r>
      <w:r w:rsidR="007835C5" w:rsidRPr="00E75B0C">
        <w:rPr>
          <w:rFonts w:ascii="Verdana" w:hAnsi="Verdana"/>
          <w:sz w:val="18"/>
          <w:szCs w:val="18"/>
        </w:rPr>
        <w:t xml:space="preserve"> εμμέσως, όχι ευθέως). </w:t>
      </w:r>
    </w:p>
    <w:p w:rsidR="0049284D" w:rsidRPr="00E75B0C" w:rsidRDefault="0049284D" w:rsidP="0049284D">
      <w:pPr>
        <w:rPr>
          <w:rFonts w:ascii="Verdana" w:hAnsi="Verdana"/>
          <w:sz w:val="18"/>
          <w:szCs w:val="18"/>
        </w:rPr>
      </w:pPr>
    </w:p>
    <w:p w:rsidR="0061670E" w:rsidRPr="00E75B0C" w:rsidRDefault="0061670E" w:rsidP="0049284D">
      <w:pPr>
        <w:rPr>
          <w:rFonts w:ascii="Verdana" w:hAnsi="Verdana"/>
          <w:b/>
          <w:sz w:val="18"/>
          <w:szCs w:val="18"/>
        </w:rPr>
      </w:pPr>
      <w:r w:rsidRPr="00E75B0C">
        <w:rPr>
          <w:rFonts w:ascii="Verdana" w:hAnsi="Verdana"/>
          <w:b/>
          <w:sz w:val="18"/>
          <w:szCs w:val="18"/>
        </w:rPr>
        <w:t>Αντεπιχειρήματα:</w:t>
      </w:r>
    </w:p>
    <w:p w:rsidR="00311D63" w:rsidRPr="00E75B0C" w:rsidRDefault="00311D63" w:rsidP="0049284D">
      <w:pPr>
        <w:rPr>
          <w:rFonts w:ascii="Verdana" w:hAnsi="Verdana"/>
          <w:b/>
          <w:sz w:val="18"/>
          <w:szCs w:val="18"/>
        </w:rPr>
      </w:pPr>
    </w:p>
    <w:p w:rsidR="00D311B4" w:rsidRPr="00E75B0C" w:rsidRDefault="009926DC" w:rsidP="0061670E">
      <w:pPr>
        <w:pStyle w:val="a3"/>
        <w:numPr>
          <w:ilvl w:val="0"/>
          <w:numId w:val="2"/>
        </w:numPr>
        <w:rPr>
          <w:rFonts w:ascii="Verdana" w:hAnsi="Verdana"/>
          <w:sz w:val="18"/>
          <w:szCs w:val="18"/>
        </w:rPr>
      </w:pPr>
      <w:r w:rsidRPr="00E75B0C">
        <w:rPr>
          <w:rFonts w:ascii="Verdana" w:hAnsi="Verdana"/>
          <w:sz w:val="18"/>
          <w:szCs w:val="18"/>
        </w:rPr>
        <w:t>«</w:t>
      </w:r>
      <w:r w:rsidR="009A4719" w:rsidRPr="00E75B0C">
        <w:rPr>
          <w:rFonts w:ascii="Verdana" w:hAnsi="Verdana"/>
          <w:sz w:val="18"/>
          <w:szCs w:val="18"/>
        </w:rPr>
        <w:t>Έχουν</w:t>
      </w:r>
      <w:r w:rsidRPr="00E75B0C">
        <w:rPr>
          <w:rFonts w:ascii="Verdana" w:hAnsi="Verdana"/>
          <w:sz w:val="18"/>
          <w:szCs w:val="18"/>
        </w:rPr>
        <w:t xml:space="preserve"> </w:t>
      </w:r>
      <w:r w:rsidR="009A4719" w:rsidRPr="00E75B0C">
        <w:rPr>
          <w:rFonts w:ascii="Verdana" w:hAnsi="Verdana"/>
          <w:sz w:val="18"/>
          <w:szCs w:val="18"/>
        </w:rPr>
        <w:t>μικρότερη</w:t>
      </w:r>
      <w:r w:rsidRPr="00E75B0C">
        <w:rPr>
          <w:rFonts w:ascii="Verdana" w:hAnsi="Verdana"/>
          <w:sz w:val="18"/>
          <w:szCs w:val="18"/>
        </w:rPr>
        <w:t xml:space="preserve"> </w:t>
      </w:r>
      <w:r w:rsidR="009A4719" w:rsidRPr="00E75B0C">
        <w:rPr>
          <w:rFonts w:ascii="Verdana" w:hAnsi="Verdana"/>
          <w:sz w:val="18"/>
          <w:szCs w:val="18"/>
        </w:rPr>
        <w:t>επίπτωση</w:t>
      </w:r>
      <w:r w:rsidRPr="00E75B0C">
        <w:rPr>
          <w:rFonts w:ascii="Verdana" w:hAnsi="Verdana"/>
          <w:sz w:val="18"/>
          <w:szCs w:val="18"/>
        </w:rPr>
        <w:t xml:space="preserve"> στην οικονομική </w:t>
      </w:r>
      <w:r w:rsidR="009A4719" w:rsidRPr="00E75B0C">
        <w:rPr>
          <w:rFonts w:ascii="Verdana" w:hAnsi="Verdana"/>
          <w:sz w:val="18"/>
          <w:szCs w:val="18"/>
        </w:rPr>
        <w:t>ανάπτυξη</w:t>
      </w:r>
      <w:r w:rsidR="00477CAA" w:rsidRPr="00E75B0C">
        <w:rPr>
          <w:rFonts w:ascii="Verdana" w:hAnsi="Verdana"/>
          <w:sz w:val="18"/>
          <w:szCs w:val="18"/>
        </w:rPr>
        <w:t xml:space="preserve"> απ’ </w:t>
      </w:r>
      <w:r w:rsidR="00E50744" w:rsidRPr="00E75B0C">
        <w:rPr>
          <w:rFonts w:ascii="Verdana" w:hAnsi="Verdana"/>
          <w:sz w:val="18"/>
          <w:szCs w:val="18"/>
        </w:rPr>
        <w:t>ότι</w:t>
      </w:r>
      <w:r w:rsidR="00477CAA" w:rsidRPr="00E75B0C">
        <w:rPr>
          <w:rFonts w:ascii="Verdana" w:hAnsi="Verdana"/>
          <w:sz w:val="18"/>
          <w:szCs w:val="18"/>
        </w:rPr>
        <w:t xml:space="preserve"> άλλα είδη φόρων</w:t>
      </w:r>
      <w:r w:rsidRPr="00E75B0C">
        <w:rPr>
          <w:rFonts w:ascii="Verdana" w:hAnsi="Verdana"/>
          <w:sz w:val="18"/>
          <w:szCs w:val="18"/>
        </w:rPr>
        <w:t>»</w:t>
      </w:r>
      <w:r w:rsidR="00477CAA" w:rsidRPr="00E75B0C">
        <w:rPr>
          <w:rFonts w:ascii="Verdana" w:hAnsi="Verdana"/>
          <w:sz w:val="18"/>
          <w:szCs w:val="18"/>
        </w:rPr>
        <w:t>.</w:t>
      </w:r>
      <w:r w:rsidRPr="00E75B0C">
        <w:rPr>
          <w:rFonts w:ascii="Verdana" w:hAnsi="Verdana"/>
          <w:sz w:val="18"/>
          <w:szCs w:val="18"/>
        </w:rPr>
        <w:t xml:space="preserve"> </w:t>
      </w:r>
    </w:p>
    <w:p w:rsidR="00D311B4" w:rsidRPr="00E75B0C" w:rsidRDefault="00D311B4" w:rsidP="00D311B4">
      <w:pPr>
        <w:pStyle w:val="a3"/>
        <w:rPr>
          <w:rFonts w:ascii="Verdana" w:hAnsi="Verdana"/>
          <w:sz w:val="18"/>
          <w:szCs w:val="18"/>
        </w:rPr>
      </w:pPr>
    </w:p>
    <w:p w:rsidR="0061670E" w:rsidRPr="00E75B0C" w:rsidRDefault="005E4EC5" w:rsidP="00D311B4">
      <w:pPr>
        <w:pStyle w:val="a3"/>
        <w:rPr>
          <w:rFonts w:ascii="Verdana" w:hAnsi="Verdana"/>
          <w:sz w:val="18"/>
          <w:szCs w:val="18"/>
        </w:rPr>
      </w:pPr>
      <w:r w:rsidRPr="00E75B0C">
        <w:rPr>
          <w:rFonts w:ascii="Verdana" w:hAnsi="Verdana"/>
          <w:sz w:val="18"/>
          <w:szCs w:val="18"/>
        </w:rPr>
        <w:t xml:space="preserve">Αυτό είναι το επιχείρημα του </w:t>
      </w:r>
      <w:r w:rsidRPr="00E75B0C">
        <w:rPr>
          <w:rFonts w:ascii="Verdana" w:hAnsi="Verdana"/>
          <w:sz w:val="18"/>
          <w:szCs w:val="18"/>
          <w:lang w:val="en-US"/>
        </w:rPr>
        <w:t>Arnold</w:t>
      </w:r>
      <w:r w:rsidRPr="00E75B0C">
        <w:rPr>
          <w:rFonts w:ascii="Verdana" w:hAnsi="Verdana"/>
          <w:sz w:val="18"/>
          <w:szCs w:val="18"/>
        </w:rPr>
        <w:t xml:space="preserve"> (</w:t>
      </w:r>
      <w:r w:rsidR="00AA284F" w:rsidRPr="00E75B0C">
        <w:rPr>
          <w:rFonts w:ascii="Verdana" w:hAnsi="Verdana"/>
          <w:sz w:val="18"/>
          <w:szCs w:val="18"/>
        </w:rPr>
        <w:t xml:space="preserve">2008), που, μελετώντας την </w:t>
      </w:r>
      <w:r w:rsidR="009A4719" w:rsidRPr="00E75B0C">
        <w:rPr>
          <w:rFonts w:ascii="Verdana" w:hAnsi="Verdana"/>
          <w:sz w:val="18"/>
          <w:szCs w:val="18"/>
        </w:rPr>
        <w:t>επίδραση</w:t>
      </w:r>
      <w:r w:rsidR="00AA284F" w:rsidRPr="00E75B0C">
        <w:rPr>
          <w:rFonts w:ascii="Verdana" w:hAnsi="Verdana"/>
          <w:sz w:val="18"/>
          <w:szCs w:val="18"/>
        </w:rPr>
        <w:t xml:space="preserve"> διαφόρων φόρων στην οικονομική </w:t>
      </w:r>
      <w:r w:rsidR="009A4719" w:rsidRPr="00E75B0C">
        <w:rPr>
          <w:rFonts w:ascii="Verdana" w:hAnsi="Verdana"/>
          <w:sz w:val="18"/>
          <w:szCs w:val="18"/>
        </w:rPr>
        <w:t>ανάπτυξη</w:t>
      </w:r>
      <w:r w:rsidR="00AA284F" w:rsidRPr="00E75B0C">
        <w:rPr>
          <w:rFonts w:ascii="Verdana" w:hAnsi="Verdana"/>
          <w:sz w:val="18"/>
          <w:szCs w:val="18"/>
        </w:rPr>
        <w:t xml:space="preserve"> σε 21 χώρες του ΟΟΣΑ απ’ το 1971 ως το 2004, </w:t>
      </w:r>
      <w:r w:rsidR="00477CAA" w:rsidRPr="00E75B0C">
        <w:rPr>
          <w:rFonts w:ascii="Verdana" w:hAnsi="Verdana"/>
          <w:sz w:val="18"/>
          <w:szCs w:val="18"/>
        </w:rPr>
        <w:t>συνήγαγε</w:t>
      </w:r>
      <w:r w:rsidR="00AA284F" w:rsidRPr="00E75B0C">
        <w:rPr>
          <w:rFonts w:ascii="Verdana" w:hAnsi="Verdana"/>
          <w:sz w:val="18"/>
          <w:szCs w:val="18"/>
        </w:rPr>
        <w:t xml:space="preserve"> πως οι φόροι ακινήτων, ιδιαίτερα δε οι φόροι κατοχής, συνδέονταν στατιστικά με </w:t>
      </w:r>
      <w:r w:rsidR="00477CAA" w:rsidRPr="00E75B0C">
        <w:rPr>
          <w:rFonts w:ascii="Verdana" w:hAnsi="Verdana"/>
          <w:sz w:val="18"/>
          <w:szCs w:val="18"/>
        </w:rPr>
        <w:t>μεγαλύτερη</w:t>
      </w:r>
      <w:r w:rsidR="00AA284F" w:rsidRPr="00E75B0C">
        <w:rPr>
          <w:rFonts w:ascii="Verdana" w:hAnsi="Verdana"/>
          <w:sz w:val="18"/>
          <w:szCs w:val="18"/>
        </w:rPr>
        <w:t xml:space="preserve"> οικονομική </w:t>
      </w:r>
      <w:r w:rsidR="009A4719" w:rsidRPr="00E75B0C">
        <w:rPr>
          <w:rFonts w:ascii="Verdana" w:hAnsi="Verdana"/>
          <w:sz w:val="18"/>
          <w:szCs w:val="18"/>
        </w:rPr>
        <w:t>ανάπτυξη</w:t>
      </w:r>
      <w:r w:rsidR="00477CAA" w:rsidRPr="00E75B0C">
        <w:rPr>
          <w:rFonts w:ascii="Verdana" w:hAnsi="Verdana"/>
          <w:sz w:val="18"/>
          <w:szCs w:val="18"/>
        </w:rPr>
        <w:t xml:space="preserve"> απ’ ό</w:t>
      </w:r>
      <w:r w:rsidR="00AA284F" w:rsidRPr="00E75B0C">
        <w:rPr>
          <w:rFonts w:ascii="Verdana" w:hAnsi="Verdana"/>
          <w:sz w:val="18"/>
          <w:szCs w:val="18"/>
        </w:rPr>
        <w:t xml:space="preserve">τι οι φόροι στην </w:t>
      </w:r>
      <w:r w:rsidR="009A4719" w:rsidRPr="00E75B0C">
        <w:rPr>
          <w:rFonts w:ascii="Verdana" w:hAnsi="Verdana"/>
          <w:sz w:val="18"/>
          <w:szCs w:val="18"/>
        </w:rPr>
        <w:t>κατανάλωση</w:t>
      </w:r>
      <w:r w:rsidR="00AA284F" w:rsidRPr="00E75B0C">
        <w:rPr>
          <w:rFonts w:ascii="Verdana" w:hAnsi="Verdana"/>
          <w:sz w:val="18"/>
          <w:szCs w:val="18"/>
        </w:rPr>
        <w:t xml:space="preserve"> (δηλ. επί των πωλήσεων εν γένει αγαθών &amp; υπηρεσιών), οι φόροι επί προσωπικών εισοδημάτων και οι φόροι επί εταιρικών κερδών (με αυτήν την σειρά). [Δηλ. οι φόροι επί ετ</w:t>
      </w:r>
      <w:r w:rsidR="00477CAA" w:rsidRPr="00E75B0C">
        <w:rPr>
          <w:rFonts w:ascii="Verdana" w:hAnsi="Verdana"/>
          <w:sz w:val="18"/>
          <w:szCs w:val="18"/>
        </w:rPr>
        <w:t>αιρικών κερδών συνδέονταν με τη</w:t>
      </w:r>
      <w:r w:rsidR="00AA284F" w:rsidRPr="00E75B0C">
        <w:rPr>
          <w:rFonts w:ascii="Verdana" w:hAnsi="Verdana"/>
          <w:sz w:val="18"/>
          <w:szCs w:val="18"/>
        </w:rPr>
        <w:t xml:space="preserve"> </w:t>
      </w:r>
      <w:r w:rsidR="009A4719" w:rsidRPr="00E75B0C">
        <w:rPr>
          <w:rFonts w:ascii="Verdana" w:hAnsi="Verdana"/>
          <w:sz w:val="18"/>
          <w:szCs w:val="18"/>
        </w:rPr>
        <w:t>μικρότερη</w:t>
      </w:r>
      <w:r w:rsidR="00AA284F" w:rsidRPr="00E75B0C">
        <w:rPr>
          <w:rFonts w:ascii="Verdana" w:hAnsi="Verdana"/>
          <w:sz w:val="18"/>
          <w:szCs w:val="18"/>
        </w:rPr>
        <w:t xml:space="preserve"> </w:t>
      </w:r>
      <w:r w:rsidR="009A4719" w:rsidRPr="00E75B0C">
        <w:rPr>
          <w:rFonts w:ascii="Verdana" w:hAnsi="Verdana"/>
          <w:sz w:val="18"/>
          <w:szCs w:val="18"/>
        </w:rPr>
        <w:t>ανάπτυξη</w:t>
      </w:r>
      <w:r w:rsidR="00477CAA" w:rsidRPr="00E75B0C">
        <w:rPr>
          <w:rFonts w:ascii="Verdana" w:hAnsi="Verdana"/>
          <w:sz w:val="18"/>
          <w:szCs w:val="18"/>
        </w:rPr>
        <w:t xml:space="preserve"> και οι φόροι ακινήτων με τη</w:t>
      </w:r>
      <w:r w:rsidR="00AA284F" w:rsidRPr="00E75B0C">
        <w:rPr>
          <w:rFonts w:ascii="Verdana" w:hAnsi="Verdana"/>
          <w:sz w:val="18"/>
          <w:szCs w:val="18"/>
        </w:rPr>
        <w:t xml:space="preserve"> </w:t>
      </w:r>
      <w:r w:rsidR="009A4719" w:rsidRPr="00E75B0C">
        <w:rPr>
          <w:rFonts w:ascii="Verdana" w:hAnsi="Verdana"/>
          <w:sz w:val="18"/>
          <w:szCs w:val="18"/>
        </w:rPr>
        <w:t>μεγαλύτερη</w:t>
      </w:r>
      <w:r w:rsidR="00AA284F" w:rsidRPr="00E75B0C">
        <w:rPr>
          <w:rFonts w:ascii="Verdana" w:hAnsi="Verdana"/>
          <w:sz w:val="18"/>
          <w:szCs w:val="18"/>
        </w:rPr>
        <w:t>.]</w:t>
      </w:r>
    </w:p>
    <w:p w:rsidR="00AA284F" w:rsidRPr="00E75B0C" w:rsidRDefault="00AA284F" w:rsidP="00AA284F">
      <w:pPr>
        <w:ind w:left="720"/>
        <w:rPr>
          <w:rFonts w:ascii="Verdana" w:hAnsi="Verdana"/>
          <w:sz w:val="18"/>
          <w:szCs w:val="18"/>
        </w:rPr>
      </w:pPr>
      <w:r w:rsidRPr="00E75B0C">
        <w:rPr>
          <w:rFonts w:ascii="Verdana" w:hAnsi="Verdana"/>
          <w:sz w:val="18"/>
          <w:szCs w:val="18"/>
        </w:rPr>
        <w:t>Πρέπει, ωστόσο, να προσέξουμε τα εξής:</w:t>
      </w:r>
    </w:p>
    <w:p w:rsidR="00AA284F" w:rsidRPr="00E75B0C" w:rsidRDefault="00AA284F" w:rsidP="00AA284F">
      <w:pPr>
        <w:pStyle w:val="a3"/>
        <w:numPr>
          <w:ilvl w:val="0"/>
          <w:numId w:val="3"/>
        </w:numPr>
        <w:rPr>
          <w:rFonts w:ascii="Verdana" w:hAnsi="Verdana"/>
          <w:sz w:val="18"/>
          <w:szCs w:val="18"/>
        </w:rPr>
      </w:pPr>
      <w:r w:rsidRPr="00E75B0C">
        <w:rPr>
          <w:rFonts w:ascii="Verdana" w:hAnsi="Verdana"/>
          <w:sz w:val="18"/>
          <w:szCs w:val="18"/>
        </w:rPr>
        <w:t xml:space="preserve">Το ανωτέρω </w:t>
      </w:r>
      <w:r w:rsidR="00477CAA" w:rsidRPr="00E75B0C">
        <w:rPr>
          <w:rFonts w:ascii="Verdana" w:hAnsi="Verdana"/>
          <w:sz w:val="18"/>
          <w:szCs w:val="18"/>
        </w:rPr>
        <w:t>συμπέρασμα</w:t>
      </w:r>
      <w:r w:rsidRPr="00E75B0C">
        <w:rPr>
          <w:rFonts w:ascii="Verdana" w:hAnsi="Verdana"/>
          <w:sz w:val="18"/>
          <w:szCs w:val="18"/>
        </w:rPr>
        <w:t xml:space="preserve"> δε σημαίνει, κατ’ αρχήν, πως οι φόροι ακινήτων ενθαρρύνουν την </w:t>
      </w:r>
      <w:r w:rsidR="009A4719" w:rsidRPr="00E75B0C">
        <w:rPr>
          <w:rFonts w:ascii="Verdana" w:hAnsi="Verdana"/>
          <w:sz w:val="18"/>
          <w:szCs w:val="18"/>
        </w:rPr>
        <w:t>ανάπτυξη</w:t>
      </w:r>
      <w:r w:rsidRPr="00E75B0C">
        <w:rPr>
          <w:rFonts w:ascii="Verdana" w:hAnsi="Verdana"/>
          <w:sz w:val="18"/>
          <w:szCs w:val="18"/>
        </w:rPr>
        <w:t xml:space="preserve">! Μέγα λάθος! Σημαίνει, απλώς, πως την αποθαρρύνουν </w:t>
      </w:r>
      <w:r w:rsidR="009A4719" w:rsidRPr="00E75B0C">
        <w:rPr>
          <w:rFonts w:ascii="Verdana" w:hAnsi="Verdana"/>
          <w:sz w:val="18"/>
          <w:szCs w:val="18"/>
        </w:rPr>
        <w:t>λιγότερο</w:t>
      </w:r>
      <w:r w:rsidRPr="00E75B0C">
        <w:rPr>
          <w:rFonts w:ascii="Verdana" w:hAnsi="Verdana"/>
          <w:sz w:val="18"/>
          <w:szCs w:val="18"/>
        </w:rPr>
        <w:t xml:space="preserve"> απ’ </w:t>
      </w:r>
      <w:r w:rsidR="00E50744" w:rsidRPr="00E75B0C">
        <w:rPr>
          <w:rFonts w:ascii="Verdana" w:hAnsi="Verdana"/>
          <w:sz w:val="18"/>
          <w:szCs w:val="18"/>
        </w:rPr>
        <w:t>ότι</w:t>
      </w:r>
      <w:r w:rsidRPr="00E75B0C">
        <w:rPr>
          <w:rFonts w:ascii="Verdana" w:hAnsi="Verdana"/>
          <w:sz w:val="18"/>
          <w:szCs w:val="18"/>
        </w:rPr>
        <w:t xml:space="preserve"> άλλοι φόροι!</w:t>
      </w:r>
    </w:p>
    <w:p w:rsidR="00AA284F" w:rsidRPr="00E75B0C" w:rsidRDefault="00AA284F" w:rsidP="00AA284F">
      <w:pPr>
        <w:pStyle w:val="a3"/>
        <w:numPr>
          <w:ilvl w:val="0"/>
          <w:numId w:val="3"/>
        </w:numPr>
        <w:rPr>
          <w:rFonts w:ascii="Verdana" w:hAnsi="Verdana"/>
          <w:sz w:val="18"/>
          <w:szCs w:val="18"/>
        </w:rPr>
      </w:pPr>
      <w:r w:rsidRPr="00E75B0C">
        <w:rPr>
          <w:rFonts w:ascii="Verdana" w:hAnsi="Verdana"/>
          <w:sz w:val="18"/>
          <w:szCs w:val="18"/>
        </w:rPr>
        <w:t xml:space="preserve">Το ανωτέρω </w:t>
      </w:r>
      <w:r w:rsidR="00477CAA" w:rsidRPr="00E75B0C">
        <w:rPr>
          <w:rFonts w:ascii="Verdana" w:hAnsi="Verdana"/>
          <w:sz w:val="18"/>
          <w:szCs w:val="18"/>
        </w:rPr>
        <w:t xml:space="preserve">συμπέρασμα </w:t>
      </w:r>
      <w:r w:rsidRPr="00E75B0C">
        <w:rPr>
          <w:rFonts w:ascii="Verdana" w:hAnsi="Verdana"/>
          <w:sz w:val="18"/>
          <w:szCs w:val="18"/>
        </w:rPr>
        <w:t>δεν μπορεί να αξιοποιηθεί για να δικαιολογήσει μία πολιτική αυξήσεως των φόρων ακινήτων διότι</w:t>
      </w:r>
    </w:p>
    <w:p w:rsidR="00AA284F" w:rsidRPr="00E75B0C" w:rsidRDefault="00AA284F" w:rsidP="00AA284F">
      <w:pPr>
        <w:pStyle w:val="a3"/>
        <w:numPr>
          <w:ilvl w:val="1"/>
          <w:numId w:val="3"/>
        </w:numPr>
        <w:rPr>
          <w:rFonts w:ascii="Verdana" w:hAnsi="Verdana"/>
          <w:sz w:val="18"/>
          <w:szCs w:val="18"/>
        </w:rPr>
      </w:pPr>
      <w:r w:rsidRPr="00E75B0C">
        <w:rPr>
          <w:rFonts w:ascii="Verdana" w:hAnsi="Verdana"/>
          <w:sz w:val="18"/>
          <w:szCs w:val="18"/>
        </w:rPr>
        <w:t xml:space="preserve">Μία αύξηση των φόρων ακινήτων, ως % είτε επί του ΑΕΠ είτε επί των φορολογικών εσόδων, έχει νόημα </w:t>
      </w:r>
      <w:r w:rsidR="007C5A49" w:rsidRPr="00E75B0C">
        <w:rPr>
          <w:rFonts w:ascii="Verdana" w:hAnsi="Verdana"/>
          <w:sz w:val="18"/>
          <w:szCs w:val="18"/>
        </w:rPr>
        <w:t xml:space="preserve">μόνο στο πλαίσιο δεδομένου ή μειωμένου συνολικού φορολογικού βάρους (από όλα τα είδη φόρων), καθώς όλοι οι </w:t>
      </w:r>
      <w:r w:rsidR="009A4719" w:rsidRPr="00E75B0C">
        <w:rPr>
          <w:rFonts w:ascii="Verdana" w:hAnsi="Verdana"/>
          <w:sz w:val="18"/>
          <w:szCs w:val="18"/>
        </w:rPr>
        <w:t>φόροι</w:t>
      </w:r>
      <w:r w:rsidR="007C5A49" w:rsidRPr="00E75B0C">
        <w:rPr>
          <w:rFonts w:ascii="Verdana" w:hAnsi="Verdana"/>
          <w:sz w:val="18"/>
          <w:szCs w:val="18"/>
        </w:rPr>
        <w:t xml:space="preserve"> μειώνουν την οικονομική δραστηριότητα.</w:t>
      </w:r>
    </w:p>
    <w:p w:rsidR="007C5A49" w:rsidRPr="00E75B0C" w:rsidRDefault="007C5A49" w:rsidP="00AA284F">
      <w:pPr>
        <w:pStyle w:val="a3"/>
        <w:numPr>
          <w:ilvl w:val="1"/>
          <w:numId w:val="3"/>
        </w:numPr>
        <w:rPr>
          <w:rFonts w:ascii="Verdana" w:hAnsi="Verdana"/>
          <w:sz w:val="18"/>
          <w:szCs w:val="18"/>
        </w:rPr>
      </w:pPr>
      <w:r w:rsidRPr="00E75B0C">
        <w:rPr>
          <w:rFonts w:ascii="Verdana" w:hAnsi="Verdana"/>
          <w:sz w:val="18"/>
          <w:szCs w:val="18"/>
        </w:rPr>
        <w:t xml:space="preserve">Είναι σχεδόν σίγουρο πως οι προσωπικοί και οι εταιρικοί φόροι εισοδήματος είχαν </w:t>
      </w:r>
      <w:r w:rsidR="009A4719" w:rsidRPr="00E75B0C">
        <w:rPr>
          <w:rFonts w:ascii="Verdana" w:hAnsi="Verdana"/>
          <w:sz w:val="18"/>
          <w:szCs w:val="18"/>
        </w:rPr>
        <w:t>επίπτωση</w:t>
      </w:r>
      <w:r w:rsidRPr="00E75B0C">
        <w:rPr>
          <w:rFonts w:ascii="Verdana" w:hAnsi="Verdana"/>
          <w:sz w:val="18"/>
          <w:szCs w:val="18"/>
        </w:rPr>
        <w:t xml:space="preserve"> στο ΑΕΠ </w:t>
      </w:r>
      <w:r w:rsidR="009A4719" w:rsidRPr="00E75B0C">
        <w:rPr>
          <w:rFonts w:ascii="Verdana" w:hAnsi="Verdana"/>
          <w:sz w:val="18"/>
          <w:szCs w:val="18"/>
        </w:rPr>
        <w:t>μεγαλύτερη</w:t>
      </w:r>
      <w:r w:rsidRPr="00E75B0C">
        <w:rPr>
          <w:rFonts w:ascii="Verdana" w:hAnsi="Verdana"/>
          <w:sz w:val="18"/>
          <w:szCs w:val="18"/>
        </w:rPr>
        <w:t xml:space="preserve"> απ’ ότι οι φόροι ακινήτων κυρίως λόγω της </w:t>
      </w:r>
      <w:r w:rsidR="009A4719" w:rsidRPr="00E75B0C">
        <w:rPr>
          <w:rFonts w:ascii="Verdana" w:hAnsi="Verdana"/>
          <w:sz w:val="18"/>
          <w:szCs w:val="18"/>
        </w:rPr>
        <w:t>προοδευτικότητας</w:t>
      </w:r>
      <w:r w:rsidRPr="00E75B0C">
        <w:rPr>
          <w:rFonts w:ascii="Verdana" w:hAnsi="Verdana"/>
          <w:sz w:val="18"/>
          <w:szCs w:val="18"/>
        </w:rPr>
        <w:t xml:space="preserve"> αυτών ή επειδή ήταν πολύ υψηλοί. Αντιθέτως, οι φόροι κατοχής ακινήτων είναι αντιστρόφως προοδευτικοί, οπότε, επειδή ούτως ή άλλως από εισόδημα πληρώνονται (ή, στην τρέχουσα ελληνική </w:t>
      </w:r>
      <w:r w:rsidR="009A4719" w:rsidRPr="00E75B0C">
        <w:rPr>
          <w:rFonts w:ascii="Verdana" w:hAnsi="Verdana"/>
          <w:sz w:val="18"/>
          <w:szCs w:val="18"/>
        </w:rPr>
        <w:t xml:space="preserve">περίπτωση, από ταμειακά διαθέσιμα των </w:t>
      </w:r>
      <w:r w:rsidRPr="00E75B0C">
        <w:rPr>
          <w:rFonts w:ascii="Verdana" w:hAnsi="Verdana"/>
          <w:sz w:val="18"/>
          <w:szCs w:val="18"/>
        </w:rPr>
        <w:t xml:space="preserve">νοικοκυριών), </w:t>
      </w:r>
      <w:r w:rsidR="00477CAA" w:rsidRPr="00E75B0C">
        <w:rPr>
          <w:rFonts w:ascii="Verdana" w:hAnsi="Verdana"/>
          <w:sz w:val="18"/>
          <w:szCs w:val="18"/>
        </w:rPr>
        <w:t>μοιάζουν</w:t>
      </w:r>
      <w:r w:rsidRPr="00E75B0C">
        <w:rPr>
          <w:rFonts w:ascii="Verdana" w:hAnsi="Verdana"/>
          <w:sz w:val="18"/>
          <w:szCs w:val="18"/>
        </w:rPr>
        <w:t xml:space="preserve"> και λειτουργούν ως αντιστρόφως προοδευτικοί φόροι εισοδήματος (δηλ. οι έχοντες υψηλότερα εισοδήματα πληρώνουν, αναλογικά, μικρότερο ποσοστό του εισοδήματ</w:t>
      </w:r>
      <w:r w:rsidR="00477CAA" w:rsidRPr="00E75B0C">
        <w:rPr>
          <w:rFonts w:ascii="Verdana" w:hAnsi="Verdana"/>
          <w:sz w:val="18"/>
          <w:szCs w:val="18"/>
        </w:rPr>
        <w:t>ός τους ως φόρο απ’ ό</w:t>
      </w:r>
      <w:r w:rsidRPr="00E75B0C">
        <w:rPr>
          <w:rFonts w:ascii="Verdana" w:hAnsi="Verdana"/>
          <w:sz w:val="18"/>
          <w:szCs w:val="18"/>
        </w:rPr>
        <w:t>τι οι έχο</w:t>
      </w:r>
      <w:r w:rsidR="009A4719" w:rsidRPr="00E75B0C">
        <w:rPr>
          <w:rFonts w:ascii="Verdana" w:hAnsi="Verdana"/>
          <w:sz w:val="18"/>
          <w:szCs w:val="18"/>
        </w:rPr>
        <w:t>ντες χαμηλότερα εισοδήματα). Εξ</w:t>
      </w:r>
      <w:r w:rsidR="00477CAA" w:rsidRPr="00E75B0C">
        <w:rPr>
          <w:rFonts w:ascii="Verdana" w:hAnsi="Verdana"/>
          <w:sz w:val="18"/>
          <w:szCs w:val="18"/>
        </w:rPr>
        <w:t>ού και η σχετικά</w:t>
      </w:r>
      <w:r w:rsidRPr="00E75B0C">
        <w:rPr>
          <w:rFonts w:ascii="Verdana" w:hAnsi="Verdana"/>
          <w:sz w:val="18"/>
          <w:szCs w:val="18"/>
        </w:rPr>
        <w:t xml:space="preserve"> χαμηλή επίπτωση των φόρων ακινήτων στην </w:t>
      </w:r>
      <w:r w:rsidR="009A4719" w:rsidRPr="00E75B0C">
        <w:rPr>
          <w:rFonts w:ascii="Verdana" w:hAnsi="Verdana"/>
          <w:sz w:val="18"/>
          <w:szCs w:val="18"/>
        </w:rPr>
        <w:t>ανάπτυξη</w:t>
      </w:r>
      <w:r w:rsidRPr="00E75B0C">
        <w:rPr>
          <w:rFonts w:ascii="Verdana" w:hAnsi="Verdana"/>
          <w:sz w:val="18"/>
          <w:szCs w:val="18"/>
        </w:rPr>
        <w:t xml:space="preserve">. [Απ’ την άλλη </w:t>
      </w:r>
      <w:r w:rsidR="009A4719" w:rsidRPr="00E75B0C">
        <w:rPr>
          <w:rFonts w:ascii="Verdana" w:hAnsi="Verdana"/>
          <w:sz w:val="18"/>
          <w:szCs w:val="18"/>
        </w:rPr>
        <w:t xml:space="preserve">όμως αυτό το αντεπιχείρημα δεν </w:t>
      </w:r>
      <w:r w:rsidRPr="00E75B0C">
        <w:rPr>
          <w:rFonts w:ascii="Verdana" w:hAnsi="Verdana"/>
          <w:sz w:val="18"/>
          <w:szCs w:val="18"/>
        </w:rPr>
        <w:t xml:space="preserve">μπορεί να δικαιολογήσει την </w:t>
      </w:r>
      <w:r w:rsidR="009A4719" w:rsidRPr="00E75B0C">
        <w:rPr>
          <w:rFonts w:ascii="Verdana" w:hAnsi="Verdana"/>
          <w:sz w:val="18"/>
          <w:szCs w:val="18"/>
        </w:rPr>
        <w:t>υιοθέτηση</w:t>
      </w:r>
      <w:r w:rsidRPr="00E75B0C">
        <w:rPr>
          <w:rFonts w:ascii="Verdana" w:hAnsi="Verdana"/>
          <w:sz w:val="18"/>
          <w:szCs w:val="18"/>
        </w:rPr>
        <w:t xml:space="preserve"> αντιστρόφως προοδευτικών φόρων εισοδήματος ως πάγιο σύστημα διότι συνεπάγεται άλλα προβλήματα, π.χ., κοινωνικής συνοχής, οικονομικής απ</w:t>
      </w:r>
      <w:r w:rsidR="00D311B4" w:rsidRPr="00E75B0C">
        <w:rPr>
          <w:rFonts w:ascii="Verdana" w:hAnsi="Verdana"/>
          <w:sz w:val="18"/>
          <w:szCs w:val="18"/>
        </w:rPr>
        <w:t xml:space="preserve">οτελεσματικότητος, δικαιοσύνης, που μακροπρόθεσμα έχουν μάλλον μεγάλη </w:t>
      </w:r>
      <w:r w:rsidR="009A4719" w:rsidRPr="00E75B0C">
        <w:rPr>
          <w:rFonts w:ascii="Verdana" w:hAnsi="Verdana"/>
          <w:sz w:val="18"/>
          <w:szCs w:val="18"/>
        </w:rPr>
        <w:t>επίπτωση</w:t>
      </w:r>
      <w:r w:rsidR="00D311B4" w:rsidRPr="00E75B0C">
        <w:rPr>
          <w:rFonts w:ascii="Verdana" w:hAnsi="Verdana"/>
          <w:sz w:val="18"/>
          <w:szCs w:val="18"/>
        </w:rPr>
        <w:t xml:space="preserve"> στο ΑΕΠ.]</w:t>
      </w:r>
    </w:p>
    <w:p w:rsidR="00311D63" w:rsidRPr="00E75B0C" w:rsidRDefault="00311D63" w:rsidP="00A45EEA">
      <w:pPr>
        <w:spacing w:line="120" w:lineRule="exact"/>
        <w:rPr>
          <w:rFonts w:ascii="Verdana" w:hAnsi="Verdana"/>
          <w:sz w:val="18"/>
          <w:szCs w:val="18"/>
        </w:rPr>
      </w:pPr>
    </w:p>
    <w:p w:rsidR="00D311B4" w:rsidRPr="00E75B0C" w:rsidRDefault="00311D63" w:rsidP="00D311B4">
      <w:pPr>
        <w:pStyle w:val="a3"/>
        <w:numPr>
          <w:ilvl w:val="0"/>
          <w:numId w:val="2"/>
        </w:numPr>
        <w:rPr>
          <w:rFonts w:ascii="Verdana" w:hAnsi="Verdana"/>
          <w:sz w:val="18"/>
          <w:szCs w:val="18"/>
        </w:rPr>
      </w:pPr>
      <w:r w:rsidRPr="00E75B0C">
        <w:rPr>
          <w:rFonts w:ascii="Verdana" w:hAnsi="Verdana"/>
          <w:sz w:val="18"/>
          <w:szCs w:val="18"/>
        </w:rPr>
        <w:t xml:space="preserve"> </w:t>
      </w:r>
      <w:r w:rsidR="00D311B4" w:rsidRPr="00E75B0C">
        <w:rPr>
          <w:rFonts w:ascii="Verdana" w:hAnsi="Verdana"/>
          <w:sz w:val="18"/>
          <w:szCs w:val="18"/>
        </w:rPr>
        <w:t xml:space="preserve">«Το ότι επιβαρύνουν την </w:t>
      </w:r>
      <w:r w:rsidR="009A4719" w:rsidRPr="00E75B0C">
        <w:rPr>
          <w:rFonts w:ascii="Verdana" w:hAnsi="Verdana"/>
          <w:sz w:val="18"/>
          <w:szCs w:val="18"/>
        </w:rPr>
        <w:t>απόκτηση</w:t>
      </w:r>
      <w:r w:rsidR="00D311B4" w:rsidRPr="00E75B0C">
        <w:rPr>
          <w:rFonts w:ascii="Verdana" w:hAnsi="Verdana"/>
          <w:sz w:val="18"/>
          <w:szCs w:val="18"/>
        </w:rPr>
        <w:t xml:space="preserve"> / κατοχή ακινήτων είναι καλό διότι έτσι ενθαρρύνονται άλλες μορφές «παραγωγικών» επενδύσεων, που, υποτίθεται, συμβάλλουν περισσότερο στην οικονομική </w:t>
      </w:r>
      <w:r w:rsidR="009A4719" w:rsidRPr="00E75B0C">
        <w:rPr>
          <w:rFonts w:ascii="Verdana" w:hAnsi="Verdana"/>
          <w:sz w:val="18"/>
          <w:szCs w:val="18"/>
        </w:rPr>
        <w:t>ανάπτυξη</w:t>
      </w:r>
      <w:r w:rsidR="00D311B4" w:rsidRPr="00E75B0C">
        <w:rPr>
          <w:rFonts w:ascii="Verdana" w:hAnsi="Verdana"/>
          <w:sz w:val="18"/>
          <w:szCs w:val="18"/>
        </w:rPr>
        <w:t>»</w:t>
      </w:r>
      <w:r w:rsidR="00694EC2" w:rsidRPr="00E75B0C">
        <w:rPr>
          <w:rFonts w:ascii="Verdana" w:hAnsi="Verdana"/>
          <w:sz w:val="18"/>
          <w:szCs w:val="18"/>
        </w:rPr>
        <w:t>.</w:t>
      </w:r>
    </w:p>
    <w:p w:rsidR="00532953" w:rsidRPr="00E75B0C" w:rsidRDefault="009C5AE4" w:rsidP="00D311B4">
      <w:pPr>
        <w:ind w:left="720"/>
        <w:rPr>
          <w:rFonts w:ascii="Verdana" w:hAnsi="Verdana"/>
          <w:sz w:val="18"/>
          <w:szCs w:val="18"/>
        </w:rPr>
      </w:pPr>
      <w:r w:rsidRPr="00E75B0C">
        <w:rPr>
          <w:rFonts w:ascii="Verdana" w:hAnsi="Verdana"/>
          <w:sz w:val="18"/>
          <w:szCs w:val="18"/>
        </w:rPr>
        <w:t>Αυτή είναι μία στατική αντίληψη</w:t>
      </w:r>
      <w:r w:rsidR="0084291B" w:rsidRPr="00E75B0C">
        <w:rPr>
          <w:rFonts w:ascii="Verdana" w:hAnsi="Verdana"/>
          <w:sz w:val="18"/>
          <w:szCs w:val="18"/>
        </w:rPr>
        <w:t xml:space="preserve"> </w:t>
      </w:r>
      <w:r w:rsidR="00532953" w:rsidRPr="00E75B0C">
        <w:rPr>
          <w:rFonts w:ascii="Verdana" w:hAnsi="Verdana"/>
          <w:sz w:val="18"/>
          <w:szCs w:val="18"/>
        </w:rPr>
        <w:t>και εν γένει λα</w:t>
      </w:r>
      <w:r w:rsidR="00694EC2" w:rsidRPr="00E75B0C">
        <w:rPr>
          <w:rFonts w:ascii="Verdana" w:hAnsi="Verdana"/>
          <w:sz w:val="18"/>
          <w:szCs w:val="18"/>
        </w:rPr>
        <w:t>νθασμένη</w:t>
      </w:r>
      <w:r w:rsidR="0084291B" w:rsidRPr="00E75B0C">
        <w:rPr>
          <w:rFonts w:ascii="Verdana" w:hAnsi="Verdana"/>
          <w:sz w:val="18"/>
          <w:szCs w:val="18"/>
        </w:rPr>
        <w:t>,</w:t>
      </w:r>
      <w:r w:rsidR="00532953" w:rsidRPr="00E75B0C">
        <w:rPr>
          <w:rFonts w:ascii="Verdana" w:hAnsi="Verdana"/>
          <w:sz w:val="18"/>
          <w:szCs w:val="18"/>
        </w:rPr>
        <w:t xml:space="preserve"> επίσης</w:t>
      </w:r>
      <w:r w:rsidRPr="00E75B0C">
        <w:rPr>
          <w:rFonts w:ascii="Verdana" w:hAnsi="Verdana"/>
          <w:sz w:val="18"/>
          <w:szCs w:val="18"/>
        </w:rPr>
        <w:t>. Στην πραγματικότητα</w:t>
      </w:r>
      <w:r w:rsidR="00694EC2" w:rsidRPr="00E75B0C">
        <w:rPr>
          <w:rFonts w:ascii="Verdana" w:hAnsi="Verdana"/>
          <w:sz w:val="18"/>
          <w:szCs w:val="18"/>
        </w:rPr>
        <w:t xml:space="preserve"> οι</w:t>
      </w:r>
      <w:r w:rsidR="003956A8" w:rsidRPr="00E75B0C">
        <w:rPr>
          <w:rFonts w:ascii="Verdana" w:hAnsi="Verdana"/>
          <w:sz w:val="18"/>
          <w:szCs w:val="18"/>
        </w:rPr>
        <w:t xml:space="preserve"> επενδύσεις σε ακίνητα, ιδίως κτήρια, κινητοποιούν πολλαπλασιαστικά σειρά άλλων κλάδων (οικοδομικών υλικών, επίπλων, ηλεκτρικών ειδών), που σαφέστατα δημιουργούν </w:t>
      </w:r>
      <w:r w:rsidR="009A4719" w:rsidRPr="00E75B0C">
        <w:rPr>
          <w:rFonts w:ascii="Verdana" w:hAnsi="Verdana"/>
          <w:sz w:val="18"/>
          <w:szCs w:val="18"/>
        </w:rPr>
        <w:t>ανάπτυξη</w:t>
      </w:r>
      <w:r w:rsidR="003956A8" w:rsidRPr="00E75B0C">
        <w:rPr>
          <w:rFonts w:ascii="Verdana" w:hAnsi="Verdana"/>
          <w:sz w:val="18"/>
          <w:szCs w:val="18"/>
        </w:rPr>
        <w:t xml:space="preserve">. </w:t>
      </w:r>
      <w:r w:rsidR="00532953" w:rsidRPr="00E75B0C">
        <w:rPr>
          <w:rFonts w:ascii="Verdana" w:hAnsi="Verdana"/>
          <w:sz w:val="18"/>
          <w:szCs w:val="18"/>
        </w:rPr>
        <w:t xml:space="preserve">Αυτό έχει </w:t>
      </w:r>
      <w:r w:rsidR="009A4719" w:rsidRPr="00E75B0C">
        <w:rPr>
          <w:rFonts w:ascii="Verdana" w:hAnsi="Verdana"/>
          <w:sz w:val="18"/>
          <w:szCs w:val="18"/>
        </w:rPr>
        <w:t>καταδειχτεί</w:t>
      </w:r>
      <w:r w:rsidR="003C184A" w:rsidRPr="00E75B0C">
        <w:rPr>
          <w:rFonts w:ascii="Verdana" w:hAnsi="Verdana"/>
          <w:sz w:val="18"/>
          <w:szCs w:val="18"/>
        </w:rPr>
        <w:t xml:space="preserve"> σε πλήθος μελετών, </w:t>
      </w:r>
      <w:r w:rsidR="00532953" w:rsidRPr="00E75B0C">
        <w:rPr>
          <w:rFonts w:ascii="Verdana" w:hAnsi="Verdana"/>
          <w:sz w:val="18"/>
          <w:szCs w:val="18"/>
        </w:rPr>
        <w:t xml:space="preserve">βάσει των οποίων οι πολλαπλασιαστές (ΑΕΠ, απασχολήσεως, προστιθεμένης αξίας) από, λ.χ., </w:t>
      </w:r>
      <w:r w:rsidR="00532953" w:rsidRPr="00E75B0C">
        <w:rPr>
          <w:rFonts w:ascii="Verdana" w:hAnsi="Verdana"/>
          <w:sz w:val="18"/>
          <w:szCs w:val="18"/>
        </w:rPr>
        <w:lastRenderedPageBreak/>
        <w:t xml:space="preserve">την κατασκευή κατοικιών τείνουν να είναι μεγαλύτεροι από αυτούς των περισσοτέρων και </w:t>
      </w:r>
      <w:r w:rsidR="009A4719" w:rsidRPr="00E75B0C">
        <w:rPr>
          <w:rFonts w:ascii="Verdana" w:hAnsi="Verdana"/>
          <w:sz w:val="18"/>
          <w:szCs w:val="18"/>
        </w:rPr>
        <w:t>σημαντικότερων</w:t>
      </w:r>
      <w:r w:rsidR="00532953" w:rsidRPr="00E75B0C">
        <w:rPr>
          <w:rFonts w:ascii="Verdana" w:hAnsi="Verdana"/>
          <w:sz w:val="18"/>
          <w:szCs w:val="18"/>
        </w:rPr>
        <w:t xml:space="preserve"> άλλων κλάδων. </w:t>
      </w:r>
    </w:p>
    <w:p w:rsidR="00311D63" w:rsidRPr="00E75B0C" w:rsidRDefault="003956A8" w:rsidP="00D311B4">
      <w:pPr>
        <w:ind w:left="720"/>
        <w:rPr>
          <w:rFonts w:ascii="Verdana" w:hAnsi="Verdana"/>
          <w:sz w:val="18"/>
          <w:szCs w:val="18"/>
        </w:rPr>
      </w:pPr>
      <w:r w:rsidRPr="00E75B0C">
        <w:rPr>
          <w:rFonts w:ascii="Verdana" w:hAnsi="Verdana"/>
          <w:sz w:val="18"/>
          <w:szCs w:val="18"/>
        </w:rPr>
        <w:t xml:space="preserve">Γι’ αυτό και σε όλες τις ανεπτυγμένες χώρες </w:t>
      </w:r>
      <w:r w:rsidR="00694EC2" w:rsidRPr="00E75B0C">
        <w:rPr>
          <w:rFonts w:ascii="Verdana" w:hAnsi="Verdana"/>
          <w:sz w:val="18"/>
          <w:szCs w:val="18"/>
        </w:rPr>
        <w:t>οι</w:t>
      </w:r>
      <w:r w:rsidRPr="00E75B0C">
        <w:rPr>
          <w:rFonts w:ascii="Verdana" w:hAnsi="Verdana"/>
          <w:sz w:val="18"/>
          <w:szCs w:val="18"/>
        </w:rPr>
        <w:t xml:space="preserve"> επενδύσεις σε κατοικίες, κτήρια και κατασ</w:t>
      </w:r>
      <w:r w:rsidR="00D7018B" w:rsidRPr="00E75B0C">
        <w:rPr>
          <w:rFonts w:ascii="Verdana" w:hAnsi="Verdana"/>
          <w:sz w:val="18"/>
          <w:szCs w:val="18"/>
        </w:rPr>
        <w:t>κευές είναι, σχεδόν πάντα, άνω του 40% του συνόλου των επενδύσεων, συχνά δε περισσότερο ή και πολύ περισσότερο απ’ το 50%</w:t>
      </w:r>
      <w:r w:rsidR="00F74B74" w:rsidRPr="00E75B0C">
        <w:rPr>
          <w:rFonts w:ascii="Verdana" w:hAnsi="Verdana"/>
          <w:sz w:val="18"/>
          <w:szCs w:val="18"/>
        </w:rPr>
        <w:t xml:space="preserve"> - βλ. Πίν. 1</w:t>
      </w:r>
      <w:r w:rsidR="00D7018B" w:rsidRPr="00E75B0C">
        <w:rPr>
          <w:rFonts w:ascii="Verdana" w:hAnsi="Verdana"/>
          <w:sz w:val="18"/>
          <w:szCs w:val="18"/>
        </w:rPr>
        <w:t xml:space="preserve">. </w:t>
      </w:r>
    </w:p>
    <w:tbl>
      <w:tblPr>
        <w:tblW w:w="9044"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8"/>
        <w:gridCol w:w="1044"/>
        <w:gridCol w:w="1078"/>
        <w:gridCol w:w="1128"/>
        <w:gridCol w:w="1075"/>
        <w:gridCol w:w="1078"/>
        <w:gridCol w:w="1128"/>
        <w:gridCol w:w="973"/>
        <w:gridCol w:w="973"/>
      </w:tblGrid>
      <w:tr w:rsidR="00311D63" w:rsidRPr="00E75B0C" w:rsidTr="005E32C6">
        <w:trPr>
          <w:trHeight w:val="157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8477" w:type="dxa"/>
            <w:gridSpan w:val="8"/>
            <w:shd w:val="clear" w:color="auto" w:fill="auto"/>
            <w:vAlign w:val="bottom"/>
            <w:hideMark/>
          </w:tcPr>
          <w:p w:rsidR="00311D63" w:rsidRPr="00E75B0C" w:rsidRDefault="00311D63" w:rsidP="005E32C6">
            <w:pPr>
              <w:spacing w:after="0" w:line="240" w:lineRule="auto"/>
              <w:rPr>
                <w:rFonts w:ascii="Verdana" w:eastAsia="Times New Roman" w:hAnsi="Verdana" w:cs="Arial"/>
                <w:sz w:val="18"/>
                <w:szCs w:val="18"/>
                <w:lang w:eastAsia="el-GR"/>
              </w:rPr>
            </w:pPr>
            <w:r w:rsidRPr="00E75B0C">
              <w:rPr>
                <w:rFonts w:ascii="Verdana" w:eastAsia="Times New Roman" w:hAnsi="Verdana" w:cs="Arial"/>
                <w:sz w:val="18"/>
                <w:szCs w:val="18"/>
                <w:lang w:eastAsia="el-GR"/>
              </w:rPr>
              <w:t>Ποσοστά ακαθαρίστων επενδύσεων παγίου κεφαλαίου σε επιλεγμένες χώρες στους τομείς κατοικιών και λοιπών κτηρίων &amp; κατασκευών, επί του συνόλου των επενδύσεων, 2008 &amp; 2011</w:t>
            </w: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5"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34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5"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3281" w:type="dxa"/>
            <w:gridSpan w:val="3"/>
            <w:shd w:val="clear" w:color="auto" w:fill="auto"/>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2008</w:t>
            </w:r>
          </w:p>
        </w:tc>
        <w:tc>
          <w:tcPr>
            <w:tcW w:w="3179" w:type="dxa"/>
            <w:gridSpan w:val="3"/>
            <w:shd w:val="clear" w:color="auto" w:fill="auto"/>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2011</w:t>
            </w:r>
          </w:p>
        </w:tc>
        <w:tc>
          <w:tcPr>
            <w:tcW w:w="973" w:type="dxa"/>
            <w:shd w:val="clear" w:color="auto" w:fill="auto"/>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127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vAlign w:val="center"/>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Dwellings</w:t>
            </w:r>
            <w:proofErr w:type="spellEnd"/>
          </w:p>
        </w:tc>
        <w:tc>
          <w:tcPr>
            <w:tcW w:w="1128" w:type="dxa"/>
            <w:shd w:val="clear" w:color="auto" w:fill="auto"/>
            <w:vAlign w:val="center"/>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Other</w:t>
            </w:r>
            <w:proofErr w:type="spellEnd"/>
            <w:r w:rsidRPr="00E75B0C">
              <w:rPr>
                <w:rFonts w:ascii="Verdana" w:eastAsia="Times New Roman" w:hAnsi="Verdana" w:cs="Arial"/>
                <w:sz w:val="18"/>
                <w:szCs w:val="18"/>
                <w:lang w:eastAsia="el-GR"/>
              </w:rPr>
              <w:t xml:space="preserve"> </w:t>
            </w:r>
            <w:proofErr w:type="spellStart"/>
            <w:r w:rsidRPr="00E75B0C">
              <w:rPr>
                <w:rFonts w:ascii="Verdana" w:eastAsia="Times New Roman" w:hAnsi="Verdana" w:cs="Arial"/>
                <w:sz w:val="18"/>
                <w:szCs w:val="18"/>
                <w:lang w:eastAsia="el-GR"/>
              </w:rPr>
              <w:t>buildings</w:t>
            </w:r>
            <w:proofErr w:type="spellEnd"/>
            <w:r w:rsidRPr="00E75B0C">
              <w:rPr>
                <w:rFonts w:ascii="Verdana" w:eastAsia="Times New Roman" w:hAnsi="Verdana" w:cs="Arial"/>
                <w:sz w:val="18"/>
                <w:szCs w:val="18"/>
                <w:lang w:eastAsia="el-GR"/>
              </w:rPr>
              <w:t xml:space="preserve"> &amp; </w:t>
            </w:r>
            <w:proofErr w:type="spellStart"/>
            <w:r w:rsidRPr="00E75B0C">
              <w:rPr>
                <w:rFonts w:ascii="Verdana" w:eastAsia="Times New Roman" w:hAnsi="Verdana" w:cs="Arial"/>
                <w:sz w:val="18"/>
                <w:szCs w:val="18"/>
                <w:lang w:eastAsia="el-GR"/>
              </w:rPr>
              <w:t>structures</w:t>
            </w:r>
            <w:proofErr w:type="spellEnd"/>
          </w:p>
        </w:tc>
        <w:tc>
          <w:tcPr>
            <w:tcW w:w="1075" w:type="dxa"/>
            <w:shd w:val="clear" w:color="auto" w:fill="auto"/>
            <w:vAlign w:val="center"/>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Total</w:t>
            </w:r>
            <w:proofErr w:type="spellEnd"/>
          </w:p>
        </w:tc>
        <w:tc>
          <w:tcPr>
            <w:tcW w:w="1078" w:type="dxa"/>
            <w:shd w:val="clear" w:color="auto" w:fill="auto"/>
            <w:vAlign w:val="center"/>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Dwellings</w:t>
            </w:r>
            <w:proofErr w:type="spellEnd"/>
          </w:p>
        </w:tc>
        <w:tc>
          <w:tcPr>
            <w:tcW w:w="1128" w:type="dxa"/>
            <w:shd w:val="clear" w:color="auto" w:fill="auto"/>
            <w:vAlign w:val="center"/>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Other</w:t>
            </w:r>
            <w:proofErr w:type="spellEnd"/>
            <w:r w:rsidRPr="00E75B0C">
              <w:rPr>
                <w:rFonts w:ascii="Verdana" w:eastAsia="Times New Roman" w:hAnsi="Verdana" w:cs="Arial"/>
                <w:sz w:val="18"/>
                <w:szCs w:val="18"/>
                <w:lang w:eastAsia="el-GR"/>
              </w:rPr>
              <w:t xml:space="preserve"> </w:t>
            </w:r>
            <w:proofErr w:type="spellStart"/>
            <w:r w:rsidRPr="00E75B0C">
              <w:rPr>
                <w:rFonts w:ascii="Verdana" w:eastAsia="Times New Roman" w:hAnsi="Verdana" w:cs="Arial"/>
                <w:sz w:val="18"/>
                <w:szCs w:val="18"/>
                <w:lang w:eastAsia="el-GR"/>
              </w:rPr>
              <w:t>buildings</w:t>
            </w:r>
            <w:proofErr w:type="spellEnd"/>
            <w:r w:rsidRPr="00E75B0C">
              <w:rPr>
                <w:rFonts w:ascii="Verdana" w:eastAsia="Times New Roman" w:hAnsi="Verdana" w:cs="Arial"/>
                <w:sz w:val="18"/>
                <w:szCs w:val="18"/>
                <w:lang w:eastAsia="el-GR"/>
              </w:rPr>
              <w:t xml:space="preserve"> &amp; </w:t>
            </w:r>
            <w:proofErr w:type="spellStart"/>
            <w:r w:rsidRPr="00E75B0C">
              <w:rPr>
                <w:rFonts w:ascii="Verdana" w:eastAsia="Times New Roman" w:hAnsi="Verdana" w:cs="Arial"/>
                <w:sz w:val="18"/>
                <w:szCs w:val="18"/>
                <w:lang w:eastAsia="el-GR"/>
              </w:rPr>
              <w:t>structures</w:t>
            </w:r>
            <w:proofErr w:type="spellEnd"/>
          </w:p>
        </w:tc>
        <w:tc>
          <w:tcPr>
            <w:tcW w:w="973" w:type="dxa"/>
            <w:shd w:val="clear" w:color="auto" w:fill="auto"/>
            <w:vAlign w:val="center"/>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Total</w:t>
            </w:r>
            <w:proofErr w:type="spellEnd"/>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5" w:type="dxa"/>
            <w:shd w:val="clear" w:color="auto" w:fill="auto"/>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Ireland</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40.2</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34.5</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74.7</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23.4</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30.3</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53.7</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France</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31.6</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31.1</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62.7</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30.5</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31.8</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62.3</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Finland</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29.8</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37.8</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67.6</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35.1</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33.1</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68.2</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Greece</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28.1</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21.5</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49.6</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31.2</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21.4</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52.6</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Germany</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28.7</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22.5</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51.2</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31.5</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24.1</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55.6</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Canada</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29.7</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37.8</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67.5</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r w:rsidRPr="00E75B0C">
              <w:rPr>
                <w:rFonts w:ascii="Verdana" w:eastAsia="Times New Roman" w:hAnsi="Verdana" w:cs="Arial"/>
                <w:sz w:val="18"/>
                <w:szCs w:val="18"/>
                <w:lang w:eastAsia="el-GR"/>
              </w:rPr>
              <w:t>UK</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20.9</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37.8</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58.7</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24</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40.1</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64.1</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r w:rsidRPr="00E75B0C">
              <w:rPr>
                <w:rFonts w:ascii="Verdana" w:eastAsia="Times New Roman" w:hAnsi="Verdana" w:cs="Arial"/>
                <w:sz w:val="18"/>
                <w:szCs w:val="18"/>
                <w:lang w:eastAsia="el-GR"/>
              </w:rPr>
              <w:t>USA</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18.6</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34.3</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52.9</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13.7</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23.5</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37.2</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Sweden</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18.0</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25.3</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43.3</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19.3</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24.3</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43.6</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300"/>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roofErr w:type="spellStart"/>
            <w:r w:rsidRPr="00E75B0C">
              <w:rPr>
                <w:rFonts w:ascii="Verdana" w:eastAsia="Times New Roman" w:hAnsi="Verdana" w:cs="Arial"/>
                <w:sz w:val="18"/>
                <w:szCs w:val="18"/>
                <w:lang w:eastAsia="el-GR"/>
              </w:rPr>
              <w:t>Japan</w:t>
            </w:r>
            <w:proofErr w:type="spellEnd"/>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14.4</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36.3</w:t>
            </w:r>
          </w:p>
        </w:tc>
        <w:tc>
          <w:tcPr>
            <w:tcW w:w="1075"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50.7</w:t>
            </w:r>
          </w:p>
        </w:tc>
        <w:tc>
          <w:tcPr>
            <w:tcW w:w="107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14.4</w:t>
            </w:r>
          </w:p>
        </w:tc>
        <w:tc>
          <w:tcPr>
            <w:tcW w:w="1128"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32.7</w:t>
            </w:r>
          </w:p>
        </w:tc>
        <w:tc>
          <w:tcPr>
            <w:tcW w:w="973" w:type="dxa"/>
            <w:shd w:val="clear" w:color="auto" w:fill="auto"/>
            <w:noWrap/>
            <w:vAlign w:val="bottom"/>
            <w:hideMark/>
          </w:tcPr>
          <w:p w:rsidR="00311D63" w:rsidRPr="00E75B0C" w:rsidRDefault="00311D63" w:rsidP="00311D63">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47.1</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34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5"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567"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r w:rsidRPr="00E75B0C">
              <w:rPr>
                <w:rFonts w:ascii="Verdana" w:eastAsia="Times New Roman" w:hAnsi="Verdana" w:cs="Arial"/>
                <w:sz w:val="18"/>
                <w:szCs w:val="18"/>
                <w:lang w:eastAsia="el-GR"/>
              </w:rPr>
              <w:t xml:space="preserve">Πηγή: </w:t>
            </w:r>
          </w:p>
        </w:tc>
        <w:tc>
          <w:tcPr>
            <w:tcW w:w="1044"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5"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07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1128"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7098" w:type="dxa"/>
            <w:gridSpan w:val="7"/>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r w:rsidRPr="00E75B0C">
              <w:rPr>
                <w:rFonts w:ascii="Verdana" w:eastAsia="Times New Roman" w:hAnsi="Verdana" w:cs="Arial"/>
                <w:sz w:val="18"/>
                <w:szCs w:val="18"/>
                <w:lang w:val="en-US" w:eastAsia="el-GR"/>
              </w:rPr>
              <w:t xml:space="preserve">OECD (2010): National Accounts at a Glance, 2010. </w:t>
            </w:r>
            <w:r w:rsidRPr="00E75B0C">
              <w:rPr>
                <w:rFonts w:ascii="Verdana" w:eastAsia="Times New Roman" w:hAnsi="Verdana" w:cs="Arial"/>
                <w:sz w:val="18"/>
                <w:szCs w:val="18"/>
                <w:lang w:eastAsia="el-GR"/>
              </w:rPr>
              <w:t xml:space="preserve">OECD </w:t>
            </w:r>
            <w:proofErr w:type="spellStart"/>
            <w:r w:rsidRPr="00E75B0C">
              <w:rPr>
                <w:rFonts w:ascii="Verdana" w:eastAsia="Times New Roman" w:hAnsi="Verdana" w:cs="Arial"/>
                <w:sz w:val="18"/>
                <w:szCs w:val="18"/>
                <w:lang w:eastAsia="el-GR"/>
              </w:rPr>
              <w:t>Publishing</w:t>
            </w:r>
            <w:proofErr w:type="spellEnd"/>
            <w:r w:rsidRPr="00E75B0C">
              <w:rPr>
                <w:rFonts w:ascii="Verdana" w:eastAsia="Times New Roman" w:hAnsi="Verdana" w:cs="Arial"/>
                <w:sz w:val="18"/>
                <w:szCs w:val="18"/>
                <w:lang w:eastAsia="el-GR"/>
              </w:rPr>
              <w:t xml:space="preserve">. </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r w:rsidR="00311D63" w:rsidRPr="00E75B0C" w:rsidTr="005E32C6">
        <w:trPr>
          <w:trHeight w:val="255"/>
        </w:trPr>
        <w:tc>
          <w:tcPr>
            <w:tcW w:w="7098" w:type="dxa"/>
            <w:gridSpan w:val="7"/>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r w:rsidRPr="00E75B0C">
              <w:rPr>
                <w:rFonts w:ascii="Verdana" w:eastAsia="Times New Roman" w:hAnsi="Verdana" w:cs="Arial"/>
                <w:sz w:val="18"/>
                <w:szCs w:val="18"/>
                <w:lang w:val="en-US" w:eastAsia="el-GR"/>
              </w:rPr>
              <w:t xml:space="preserve">OECD (2014): National Accounts at a Glance, 2014. </w:t>
            </w:r>
            <w:r w:rsidRPr="00E75B0C">
              <w:rPr>
                <w:rFonts w:ascii="Verdana" w:eastAsia="Times New Roman" w:hAnsi="Verdana" w:cs="Arial"/>
                <w:sz w:val="18"/>
                <w:szCs w:val="18"/>
                <w:lang w:eastAsia="el-GR"/>
              </w:rPr>
              <w:t xml:space="preserve">OECD </w:t>
            </w:r>
            <w:proofErr w:type="spellStart"/>
            <w:r w:rsidRPr="00E75B0C">
              <w:rPr>
                <w:rFonts w:ascii="Verdana" w:eastAsia="Times New Roman" w:hAnsi="Verdana" w:cs="Arial"/>
                <w:sz w:val="18"/>
                <w:szCs w:val="18"/>
                <w:lang w:eastAsia="el-GR"/>
              </w:rPr>
              <w:t>Publishing</w:t>
            </w:r>
            <w:proofErr w:type="spellEnd"/>
            <w:r w:rsidRPr="00E75B0C">
              <w:rPr>
                <w:rFonts w:ascii="Verdana" w:eastAsia="Times New Roman" w:hAnsi="Verdana" w:cs="Arial"/>
                <w:sz w:val="18"/>
                <w:szCs w:val="18"/>
                <w:lang w:eastAsia="el-GR"/>
              </w:rPr>
              <w:t xml:space="preserve">. </w:t>
            </w: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c>
          <w:tcPr>
            <w:tcW w:w="973" w:type="dxa"/>
            <w:shd w:val="clear" w:color="auto" w:fill="auto"/>
            <w:noWrap/>
            <w:vAlign w:val="bottom"/>
            <w:hideMark/>
          </w:tcPr>
          <w:p w:rsidR="00311D63" w:rsidRPr="00E75B0C" w:rsidRDefault="00311D63" w:rsidP="00311D63">
            <w:pPr>
              <w:spacing w:after="0" w:line="240" w:lineRule="auto"/>
              <w:jc w:val="left"/>
              <w:rPr>
                <w:rFonts w:ascii="Verdana" w:eastAsia="Times New Roman" w:hAnsi="Verdana" w:cs="Arial"/>
                <w:sz w:val="18"/>
                <w:szCs w:val="18"/>
                <w:lang w:eastAsia="el-GR"/>
              </w:rPr>
            </w:pPr>
          </w:p>
        </w:tc>
      </w:tr>
    </w:tbl>
    <w:p w:rsidR="00311D63" w:rsidRPr="00E75B0C" w:rsidRDefault="00311D63" w:rsidP="00D311B4">
      <w:pPr>
        <w:ind w:left="720"/>
        <w:rPr>
          <w:rFonts w:ascii="Verdana" w:hAnsi="Verdana"/>
          <w:sz w:val="18"/>
          <w:szCs w:val="18"/>
        </w:rPr>
      </w:pPr>
    </w:p>
    <w:p w:rsidR="00D311B4" w:rsidRPr="00E75B0C" w:rsidRDefault="00D7018B" w:rsidP="00D311B4">
      <w:pPr>
        <w:ind w:left="720"/>
        <w:rPr>
          <w:rFonts w:ascii="Verdana" w:hAnsi="Verdana"/>
          <w:sz w:val="18"/>
          <w:szCs w:val="18"/>
        </w:rPr>
      </w:pPr>
      <w:r w:rsidRPr="00E75B0C">
        <w:rPr>
          <w:rFonts w:ascii="Verdana" w:hAnsi="Verdana"/>
          <w:sz w:val="18"/>
          <w:szCs w:val="18"/>
        </w:rPr>
        <w:t xml:space="preserve">[Μία αξιοσημείωτη εξαίρεση, το 2011, είναι </w:t>
      </w:r>
      <w:r w:rsidR="00694EC2" w:rsidRPr="00E75B0C">
        <w:rPr>
          <w:rFonts w:ascii="Verdana" w:hAnsi="Verdana"/>
          <w:sz w:val="18"/>
          <w:szCs w:val="18"/>
        </w:rPr>
        <w:t>οι Η</w:t>
      </w:r>
      <w:r w:rsidRPr="00E75B0C">
        <w:rPr>
          <w:rFonts w:ascii="Verdana" w:hAnsi="Verdana"/>
          <w:sz w:val="18"/>
          <w:szCs w:val="18"/>
        </w:rPr>
        <w:t xml:space="preserve">ΠΑ, όπου το </w:t>
      </w:r>
      <w:r w:rsidR="00B4446E" w:rsidRPr="00E75B0C">
        <w:rPr>
          <w:rFonts w:ascii="Verdana" w:hAnsi="Verdana"/>
          <w:sz w:val="18"/>
          <w:szCs w:val="18"/>
        </w:rPr>
        <w:t>ποσοστό έπεσε στο 37.2% από 52.9</w:t>
      </w:r>
      <w:r w:rsidRPr="00E75B0C">
        <w:rPr>
          <w:rFonts w:ascii="Verdana" w:hAnsi="Verdana"/>
          <w:sz w:val="18"/>
          <w:szCs w:val="18"/>
        </w:rPr>
        <w:t xml:space="preserve">% το 2008 λόγω της </w:t>
      </w:r>
      <w:r w:rsidR="00694EC2" w:rsidRPr="00E75B0C">
        <w:rPr>
          <w:rFonts w:ascii="Verdana" w:hAnsi="Verdana"/>
          <w:sz w:val="18"/>
          <w:szCs w:val="18"/>
        </w:rPr>
        <w:t>διάρρηξης</w:t>
      </w:r>
      <w:r w:rsidRPr="00E75B0C">
        <w:rPr>
          <w:rFonts w:ascii="Verdana" w:hAnsi="Verdana"/>
          <w:sz w:val="18"/>
          <w:szCs w:val="18"/>
        </w:rPr>
        <w:t xml:space="preserve"> της «φούσκας» των ακινήτων εκεί το 2008-09.] </w:t>
      </w:r>
      <w:r w:rsidR="009E59C9" w:rsidRPr="00E75B0C">
        <w:rPr>
          <w:rFonts w:ascii="Verdana" w:hAnsi="Verdana"/>
          <w:sz w:val="18"/>
          <w:szCs w:val="18"/>
        </w:rPr>
        <w:t>Με έμμεσο τρόπο</w:t>
      </w:r>
      <w:r w:rsidR="005C789A" w:rsidRPr="00E75B0C">
        <w:rPr>
          <w:rFonts w:ascii="Verdana" w:hAnsi="Verdana"/>
          <w:sz w:val="18"/>
          <w:szCs w:val="18"/>
        </w:rPr>
        <w:t xml:space="preserve">, ο Πίν. 1 δείχνει πως </w:t>
      </w:r>
      <w:r w:rsidR="00694EC2" w:rsidRPr="00E75B0C">
        <w:rPr>
          <w:rFonts w:ascii="Verdana" w:hAnsi="Verdana"/>
          <w:sz w:val="18"/>
          <w:szCs w:val="18"/>
        </w:rPr>
        <w:t>οι</w:t>
      </w:r>
      <w:r w:rsidR="005C789A" w:rsidRPr="00E75B0C">
        <w:rPr>
          <w:rFonts w:ascii="Verdana" w:hAnsi="Verdana"/>
          <w:sz w:val="18"/>
          <w:szCs w:val="18"/>
        </w:rPr>
        <w:t xml:space="preserve"> επενδύσεις σε κατοικίες κλπ. είναι κερδοφόρες, όντας δε κερδοφόρες οδηγούν σε </w:t>
      </w:r>
      <w:r w:rsidR="009A4719" w:rsidRPr="00E75B0C">
        <w:rPr>
          <w:rFonts w:ascii="Verdana" w:hAnsi="Verdana"/>
          <w:sz w:val="18"/>
          <w:szCs w:val="18"/>
        </w:rPr>
        <w:t>ανάπτυξη</w:t>
      </w:r>
      <w:r w:rsidR="004135B4" w:rsidRPr="00E75B0C">
        <w:rPr>
          <w:rFonts w:ascii="Verdana" w:hAnsi="Verdana"/>
          <w:sz w:val="18"/>
          <w:szCs w:val="18"/>
        </w:rPr>
        <w:t xml:space="preserve"> – αλλιώς δε</w:t>
      </w:r>
      <w:r w:rsidR="005C789A" w:rsidRPr="00E75B0C">
        <w:rPr>
          <w:rFonts w:ascii="Verdana" w:hAnsi="Verdana"/>
          <w:sz w:val="18"/>
          <w:szCs w:val="18"/>
        </w:rPr>
        <w:t xml:space="preserve"> θα συνέβαιναν, όχι σε τόση </w:t>
      </w:r>
      <w:r w:rsidR="009A4719" w:rsidRPr="00E75B0C">
        <w:rPr>
          <w:rFonts w:ascii="Verdana" w:hAnsi="Verdana"/>
          <w:sz w:val="18"/>
          <w:szCs w:val="18"/>
        </w:rPr>
        <w:t>έκταση</w:t>
      </w:r>
      <w:r w:rsidR="005C789A" w:rsidRPr="00E75B0C">
        <w:rPr>
          <w:rFonts w:ascii="Verdana" w:hAnsi="Verdana"/>
          <w:sz w:val="18"/>
          <w:szCs w:val="18"/>
        </w:rPr>
        <w:t xml:space="preserve">, όχι όταν αναφερόμαστε σε ανεπτυγμένες χώρες. </w:t>
      </w:r>
    </w:p>
    <w:p w:rsidR="00D7018B" w:rsidRPr="00E75B0C" w:rsidRDefault="009E59C9" w:rsidP="00D311B4">
      <w:pPr>
        <w:ind w:left="720"/>
        <w:rPr>
          <w:rFonts w:ascii="Verdana" w:hAnsi="Verdana"/>
          <w:sz w:val="18"/>
          <w:szCs w:val="18"/>
        </w:rPr>
      </w:pPr>
      <w:r w:rsidRPr="00E75B0C">
        <w:rPr>
          <w:rFonts w:ascii="Verdana" w:hAnsi="Verdana"/>
          <w:sz w:val="18"/>
          <w:szCs w:val="18"/>
        </w:rPr>
        <w:t>Η στατική αντίληψη για τις επενδύσεις σε ακίνητα</w:t>
      </w:r>
      <w:r w:rsidR="00F74B74" w:rsidRPr="00E75B0C">
        <w:rPr>
          <w:rFonts w:ascii="Verdana" w:hAnsi="Verdana"/>
          <w:sz w:val="18"/>
          <w:szCs w:val="18"/>
        </w:rPr>
        <w:t xml:space="preserve"> </w:t>
      </w:r>
      <w:r w:rsidR="004135B4" w:rsidRPr="00E75B0C">
        <w:rPr>
          <w:rFonts w:ascii="Verdana" w:hAnsi="Verdana"/>
          <w:sz w:val="18"/>
          <w:szCs w:val="18"/>
        </w:rPr>
        <w:t>έχει βεβαίως ένα στοιχείο αλήθει</w:t>
      </w:r>
      <w:r w:rsidR="00F74B74" w:rsidRPr="00E75B0C">
        <w:rPr>
          <w:rFonts w:ascii="Verdana" w:hAnsi="Verdana"/>
          <w:sz w:val="18"/>
          <w:szCs w:val="18"/>
        </w:rPr>
        <w:t xml:space="preserve">ας </w:t>
      </w:r>
      <w:r w:rsidRPr="00E75B0C">
        <w:rPr>
          <w:rFonts w:ascii="Verdana" w:hAnsi="Verdana"/>
          <w:sz w:val="18"/>
          <w:szCs w:val="18"/>
        </w:rPr>
        <w:t>όταν αντιδιαστέλλεται με</w:t>
      </w:r>
      <w:r w:rsidR="00F74B74" w:rsidRPr="00E75B0C">
        <w:rPr>
          <w:rFonts w:ascii="Verdana" w:hAnsi="Verdana"/>
          <w:sz w:val="18"/>
          <w:szCs w:val="18"/>
        </w:rPr>
        <w:t xml:space="preserve"> επενδύσεις σε διεθνώς εμπορεύσιμα αγαθά (</w:t>
      </w:r>
      <w:proofErr w:type="spellStart"/>
      <w:r w:rsidR="00F74B74" w:rsidRPr="00E75B0C">
        <w:rPr>
          <w:rFonts w:ascii="Verdana" w:hAnsi="Verdana"/>
          <w:sz w:val="18"/>
          <w:szCs w:val="18"/>
        </w:rPr>
        <w:t>tradable</w:t>
      </w:r>
      <w:proofErr w:type="spellEnd"/>
      <w:r w:rsidR="00F74B74" w:rsidRPr="00E75B0C">
        <w:rPr>
          <w:rFonts w:ascii="Verdana" w:hAnsi="Verdana"/>
          <w:sz w:val="18"/>
          <w:szCs w:val="18"/>
        </w:rPr>
        <w:t xml:space="preserve"> </w:t>
      </w:r>
      <w:proofErr w:type="spellStart"/>
      <w:r w:rsidR="00F74B74" w:rsidRPr="00E75B0C">
        <w:rPr>
          <w:rFonts w:ascii="Verdana" w:hAnsi="Verdana"/>
          <w:sz w:val="18"/>
          <w:szCs w:val="18"/>
        </w:rPr>
        <w:t>goods</w:t>
      </w:r>
      <w:proofErr w:type="spellEnd"/>
      <w:r w:rsidR="00F74B74" w:rsidRPr="00E75B0C">
        <w:rPr>
          <w:rFonts w:ascii="Verdana" w:hAnsi="Verdana"/>
          <w:sz w:val="18"/>
          <w:szCs w:val="18"/>
        </w:rPr>
        <w:t xml:space="preserve">), </w:t>
      </w:r>
      <w:r w:rsidR="004135B4" w:rsidRPr="00E75B0C">
        <w:rPr>
          <w:rFonts w:ascii="Verdana" w:hAnsi="Verdana"/>
          <w:sz w:val="18"/>
          <w:szCs w:val="18"/>
        </w:rPr>
        <w:t xml:space="preserve">οι </w:t>
      </w:r>
      <w:r w:rsidRPr="00E75B0C">
        <w:rPr>
          <w:rFonts w:ascii="Verdana" w:hAnsi="Verdana"/>
          <w:sz w:val="18"/>
          <w:szCs w:val="18"/>
        </w:rPr>
        <w:t>οποίες εμφανίζονται ως αναγκαίες όταν αυτή η χώρα παρουσιάζει</w:t>
      </w:r>
      <w:r w:rsidR="00F74B74" w:rsidRPr="00E75B0C">
        <w:rPr>
          <w:rFonts w:ascii="Verdana" w:hAnsi="Verdana"/>
          <w:sz w:val="18"/>
          <w:szCs w:val="18"/>
        </w:rPr>
        <w:t xml:space="preserve"> εμπορικά ελλείμματα. Ακόμη κι αυτή η σχετική αλήθεια</w:t>
      </w:r>
      <w:r w:rsidR="004135B4" w:rsidRPr="00E75B0C">
        <w:rPr>
          <w:rFonts w:ascii="Verdana" w:hAnsi="Verdana"/>
          <w:sz w:val="18"/>
          <w:szCs w:val="18"/>
        </w:rPr>
        <w:t>,</w:t>
      </w:r>
      <w:r w:rsidR="00F74B74" w:rsidRPr="00E75B0C">
        <w:rPr>
          <w:rFonts w:ascii="Verdana" w:hAnsi="Verdana"/>
          <w:sz w:val="18"/>
          <w:szCs w:val="18"/>
        </w:rPr>
        <w:t xml:space="preserve"> </w:t>
      </w:r>
      <w:r w:rsidR="004135B4" w:rsidRPr="00E75B0C">
        <w:rPr>
          <w:rFonts w:ascii="Verdana" w:hAnsi="Verdana"/>
          <w:sz w:val="18"/>
          <w:szCs w:val="18"/>
        </w:rPr>
        <w:t>όμως,</w:t>
      </w:r>
      <w:r w:rsidR="00F74B74" w:rsidRPr="00E75B0C">
        <w:rPr>
          <w:rFonts w:ascii="Verdana" w:hAnsi="Verdana"/>
          <w:sz w:val="18"/>
          <w:szCs w:val="18"/>
        </w:rPr>
        <w:t xml:space="preserve"> αποδυναμώνεται αν, λ.χ., ικανό μέρος των επενδύσεων σε ακίνητα κατευθύνεται στον τουρισμό, η δε χώρα (α) αποτελεί ανερχόμενο τουριστικό προορισμό ή προορισμό για ειδικές κατηγορίες αλλοδαπών, που αγοράζουν ή ενοικιάζουν ακίνητα σε αυτήν, (β) τ</w:t>
      </w:r>
      <w:r w:rsidR="009A4719" w:rsidRPr="00E75B0C">
        <w:rPr>
          <w:rFonts w:ascii="Verdana" w:hAnsi="Verdana"/>
          <w:sz w:val="18"/>
          <w:szCs w:val="18"/>
        </w:rPr>
        <w:t xml:space="preserve">ο τουριστικό πρότυπο της χώρας </w:t>
      </w:r>
      <w:r w:rsidR="00F74B74" w:rsidRPr="00E75B0C">
        <w:rPr>
          <w:rFonts w:ascii="Verdana" w:hAnsi="Verdana"/>
          <w:sz w:val="18"/>
          <w:szCs w:val="18"/>
        </w:rPr>
        <w:t xml:space="preserve">μπορεί να συμβάλει σε </w:t>
      </w:r>
      <w:r w:rsidR="009A4719" w:rsidRPr="00E75B0C">
        <w:rPr>
          <w:rFonts w:ascii="Verdana" w:hAnsi="Verdana"/>
          <w:sz w:val="18"/>
          <w:szCs w:val="18"/>
        </w:rPr>
        <w:t>αξιοποίηση</w:t>
      </w:r>
      <w:r w:rsidR="00F74B74" w:rsidRPr="00E75B0C">
        <w:rPr>
          <w:rFonts w:ascii="Verdana" w:hAnsi="Verdana"/>
          <w:sz w:val="18"/>
          <w:szCs w:val="18"/>
        </w:rPr>
        <w:t xml:space="preserve"> του οικιστικού της πλούτου ακριβώς για να προσελκύσει τουρίστες ή αλλοδαπούς αγ</w:t>
      </w:r>
      <w:r w:rsidR="009A4719" w:rsidRPr="00E75B0C">
        <w:rPr>
          <w:rFonts w:ascii="Verdana" w:hAnsi="Verdana"/>
          <w:sz w:val="18"/>
          <w:szCs w:val="18"/>
        </w:rPr>
        <w:t xml:space="preserve">οραστές. [Οπότε, αν η χώρα δεν </w:t>
      </w:r>
      <w:r w:rsidR="00F74B74" w:rsidRPr="00E75B0C">
        <w:rPr>
          <w:rFonts w:ascii="Verdana" w:hAnsi="Verdana"/>
          <w:sz w:val="18"/>
          <w:szCs w:val="18"/>
        </w:rPr>
        <w:t>μπορεί να το καταφέρει αυτό, μάλλον δεν ευθύνονται αι επενδύσεις σε ακίνητα αφ’ εαυτών, μα το τουριστικό πρότυπο, που η χώρα έχει υιοθετήσει.]</w:t>
      </w:r>
    </w:p>
    <w:p w:rsidR="00311D63" w:rsidRPr="00E75B0C" w:rsidRDefault="00311D63" w:rsidP="00D311B4">
      <w:pPr>
        <w:ind w:left="720"/>
        <w:rPr>
          <w:rFonts w:ascii="Verdana" w:hAnsi="Verdana"/>
          <w:sz w:val="18"/>
          <w:szCs w:val="18"/>
        </w:rPr>
      </w:pPr>
    </w:p>
    <w:p w:rsidR="00D7018B" w:rsidRPr="00E75B0C" w:rsidRDefault="00311D63" w:rsidP="00F74B74">
      <w:pPr>
        <w:pStyle w:val="a3"/>
        <w:numPr>
          <w:ilvl w:val="0"/>
          <w:numId w:val="2"/>
        </w:numPr>
        <w:rPr>
          <w:rFonts w:ascii="Verdana" w:hAnsi="Verdana"/>
          <w:sz w:val="18"/>
          <w:szCs w:val="18"/>
        </w:rPr>
      </w:pPr>
      <w:r w:rsidRPr="00E75B0C">
        <w:rPr>
          <w:rFonts w:ascii="Verdana" w:hAnsi="Verdana"/>
          <w:sz w:val="18"/>
          <w:szCs w:val="18"/>
        </w:rPr>
        <w:t xml:space="preserve"> </w:t>
      </w:r>
      <w:r w:rsidR="00F74B74" w:rsidRPr="00E75B0C">
        <w:rPr>
          <w:rFonts w:ascii="Verdana" w:hAnsi="Verdana"/>
          <w:sz w:val="18"/>
          <w:szCs w:val="18"/>
        </w:rPr>
        <w:t>«Το αντικείμενο του φόρου δεν κρύβεται, άρα αυτοί οι φόροι έχουν, υποτίθεται, ε</w:t>
      </w:r>
      <w:r w:rsidR="0084291B" w:rsidRPr="00E75B0C">
        <w:rPr>
          <w:rFonts w:ascii="Verdana" w:hAnsi="Verdana"/>
          <w:sz w:val="18"/>
          <w:szCs w:val="18"/>
        </w:rPr>
        <w:t>ύκολη και μεγάλη εισπραξιμότητα</w:t>
      </w:r>
      <w:r w:rsidR="00F74B74" w:rsidRPr="00E75B0C">
        <w:rPr>
          <w:rFonts w:ascii="Verdana" w:hAnsi="Verdana"/>
          <w:sz w:val="18"/>
          <w:szCs w:val="18"/>
        </w:rPr>
        <w:t>»</w:t>
      </w:r>
      <w:r w:rsidR="0084291B" w:rsidRPr="00E75B0C">
        <w:rPr>
          <w:rFonts w:ascii="Verdana" w:hAnsi="Verdana"/>
          <w:sz w:val="18"/>
          <w:szCs w:val="18"/>
        </w:rPr>
        <w:t>.</w:t>
      </w:r>
    </w:p>
    <w:p w:rsidR="00D7018B" w:rsidRPr="00E75B0C" w:rsidRDefault="009A4719" w:rsidP="00D311B4">
      <w:pPr>
        <w:ind w:left="720"/>
        <w:rPr>
          <w:rFonts w:ascii="Verdana" w:hAnsi="Verdana"/>
          <w:sz w:val="18"/>
          <w:szCs w:val="18"/>
        </w:rPr>
      </w:pPr>
      <w:r w:rsidRPr="00E75B0C">
        <w:rPr>
          <w:rFonts w:ascii="Verdana" w:hAnsi="Verdana"/>
          <w:sz w:val="18"/>
          <w:szCs w:val="18"/>
        </w:rPr>
        <w:t>Όντως</w:t>
      </w:r>
      <w:r w:rsidR="00F74B74" w:rsidRPr="00E75B0C">
        <w:rPr>
          <w:rFonts w:ascii="Verdana" w:hAnsi="Verdana"/>
          <w:sz w:val="18"/>
          <w:szCs w:val="18"/>
        </w:rPr>
        <w:t xml:space="preserve">. </w:t>
      </w:r>
      <w:r w:rsidR="001A02C2" w:rsidRPr="00E75B0C">
        <w:rPr>
          <w:rFonts w:ascii="Verdana" w:hAnsi="Verdana"/>
          <w:sz w:val="18"/>
          <w:szCs w:val="18"/>
        </w:rPr>
        <w:t>Αλλ</w:t>
      </w:r>
      <w:r w:rsidRPr="00E75B0C">
        <w:rPr>
          <w:rFonts w:ascii="Verdana" w:hAnsi="Verdana"/>
          <w:sz w:val="18"/>
          <w:szCs w:val="18"/>
        </w:rPr>
        <w:t>ά</w:t>
      </w:r>
      <w:r w:rsidR="001A02C2" w:rsidRPr="00E75B0C">
        <w:rPr>
          <w:rFonts w:ascii="Verdana" w:hAnsi="Verdana"/>
          <w:sz w:val="18"/>
          <w:szCs w:val="18"/>
        </w:rPr>
        <w:t xml:space="preserve"> αυτή η γενικόλογη φράση κρύβει μεγάλες παγίδες, αν (α) είναι πολύ υψηλοί σε </w:t>
      </w:r>
      <w:r w:rsidRPr="00E75B0C">
        <w:rPr>
          <w:rFonts w:ascii="Verdana" w:hAnsi="Verdana"/>
          <w:sz w:val="18"/>
          <w:szCs w:val="18"/>
        </w:rPr>
        <w:t>σχέση</w:t>
      </w:r>
      <w:r w:rsidR="001A02C2" w:rsidRPr="00E75B0C">
        <w:rPr>
          <w:rFonts w:ascii="Verdana" w:hAnsi="Verdana"/>
          <w:sz w:val="18"/>
          <w:szCs w:val="18"/>
        </w:rPr>
        <w:t xml:space="preserve"> τόσο με τις τιμές των ακινήτων όσο με τα εισοδήματα (ή ταμειακά διαθέσιμα) των ιδιοκτητών, οπότε (β) θα προκαλέσουν </w:t>
      </w:r>
      <w:r w:rsidRPr="00E75B0C">
        <w:rPr>
          <w:rFonts w:ascii="Verdana" w:hAnsi="Verdana"/>
          <w:sz w:val="18"/>
          <w:szCs w:val="18"/>
        </w:rPr>
        <w:t>καθίζηση</w:t>
      </w:r>
      <w:r w:rsidR="001A02C2" w:rsidRPr="00E75B0C">
        <w:rPr>
          <w:rFonts w:ascii="Verdana" w:hAnsi="Verdana"/>
          <w:sz w:val="18"/>
          <w:szCs w:val="18"/>
        </w:rPr>
        <w:t xml:space="preserve"> σε κτηματαγορά και οικοδομή, με συνέπεια </w:t>
      </w:r>
      <w:r w:rsidRPr="00E75B0C">
        <w:rPr>
          <w:rFonts w:ascii="Verdana" w:hAnsi="Verdana"/>
          <w:sz w:val="18"/>
          <w:szCs w:val="18"/>
        </w:rPr>
        <w:t>γενικότερη</w:t>
      </w:r>
      <w:r w:rsidR="001A02C2" w:rsidRPr="00E75B0C">
        <w:rPr>
          <w:rFonts w:ascii="Verdana" w:hAnsi="Verdana"/>
          <w:sz w:val="18"/>
          <w:szCs w:val="18"/>
        </w:rPr>
        <w:t xml:space="preserve"> </w:t>
      </w:r>
      <w:r w:rsidRPr="00E75B0C">
        <w:rPr>
          <w:rFonts w:ascii="Verdana" w:hAnsi="Verdana"/>
          <w:sz w:val="18"/>
          <w:szCs w:val="18"/>
        </w:rPr>
        <w:t>ύφεση</w:t>
      </w:r>
      <w:r w:rsidR="001A02C2" w:rsidRPr="00E75B0C">
        <w:rPr>
          <w:rFonts w:ascii="Verdana" w:hAnsi="Verdana"/>
          <w:sz w:val="18"/>
          <w:szCs w:val="18"/>
        </w:rPr>
        <w:t xml:space="preserve">. </w:t>
      </w:r>
    </w:p>
    <w:p w:rsidR="00311D63" w:rsidRPr="00E75B0C" w:rsidRDefault="00311D63" w:rsidP="00D311B4">
      <w:pPr>
        <w:ind w:left="720"/>
        <w:rPr>
          <w:rFonts w:ascii="Verdana" w:hAnsi="Verdana"/>
          <w:sz w:val="18"/>
          <w:szCs w:val="18"/>
        </w:rPr>
      </w:pPr>
    </w:p>
    <w:p w:rsidR="006C680C" w:rsidRPr="00E75B0C" w:rsidRDefault="006C680C" w:rsidP="006C680C">
      <w:pPr>
        <w:pStyle w:val="a3"/>
        <w:numPr>
          <w:ilvl w:val="0"/>
          <w:numId w:val="2"/>
        </w:numPr>
        <w:rPr>
          <w:rFonts w:ascii="Verdana" w:hAnsi="Verdana"/>
          <w:sz w:val="18"/>
          <w:szCs w:val="18"/>
        </w:rPr>
      </w:pPr>
      <w:r w:rsidRPr="00E75B0C">
        <w:rPr>
          <w:rFonts w:ascii="Verdana" w:hAnsi="Verdana"/>
          <w:sz w:val="18"/>
          <w:szCs w:val="18"/>
        </w:rPr>
        <w:t xml:space="preserve">«Η συλλογή στοιχείων, που επιτρέπει τον υπολογισμό του φόρου, παρέχει επίσης την πληροφοριακή </w:t>
      </w:r>
      <w:r w:rsidR="005D2FD3" w:rsidRPr="00E75B0C">
        <w:rPr>
          <w:rFonts w:ascii="Verdana" w:hAnsi="Verdana"/>
          <w:sz w:val="18"/>
          <w:szCs w:val="18"/>
        </w:rPr>
        <w:t>βάση</w:t>
      </w:r>
      <w:r w:rsidRPr="00E75B0C">
        <w:rPr>
          <w:rFonts w:ascii="Verdana" w:hAnsi="Verdana"/>
          <w:sz w:val="18"/>
          <w:szCs w:val="18"/>
        </w:rPr>
        <w:t xml:space="preserve"> για επεξεργασία άλλων πολιτικών, από </w:t>
      </w:r>
      <w:r w:rsidR="00274767" w:rsidRPr="00E75B0C">
        <w:rPr>
          <w:rFonts w:ascii="Verdana" w:hAnsi="Verdana"/>
          <w:sz w:val="18"/>
          <w:szCs w:val="18"/>
        </w:rPr>
        <w:t>δημόσιους</w:t>
      </w:r>
      <w:r w:rsidR="0084291B" w:rsidRPr="00E75B0C">
        <w:rPr>
          <w:rFonts w:ascii="Verdana" w:hAnsi="Verdana"/>
          <w:sz w:val="18"/>
          <w:szCs w:val="18"/>
        </w:rPr>
        <w:t xml:space="preserve"> και ιδιωτικούς φορείς, στο</w:t>
      </w:r>
      <w:r w:rsidRPr="00E75B0C">
        <w:rPr>
          <w:rFonts w:ascii="Verdana" w:hAnsi="Verdana"/>
          <w:sz w:val="18"/>
          <w:szCs w:val="18"/>
        </w:rPr>
        <w:t xml:space="preserve"> χώρο τ</w:t>
      </w:r>
      <w:r w:rsidR="00274767" w:rsidRPr="00E75B0C">
        <w:rPr>
          <w:rFonts w:ascii="Verdana" w:hAnsi="Verdana"/>
          <w:sz w:val="18"/>
          <w:szCs w:val="18"/>
        </w:rPr>
        <w:t xml:space="preserve">ου </w:t>
      </w:r>
      <w:r w:rsidRPr="00E75B0C">
        <w:rPr>
          <w:rFonts w:ascii="Verdana" w:hAnsi="Verdana"/>
          <w:sz w:val="18"/>
          <w:szCs w:val="18"/>
          <w:lang w:val="en-US"/>
        </w:rPr>
        <w:t>real</w:t>
      </w:r>
      <w:r w:rsidRPr="00E75B0C">
        <w:rPr>
          <w:rFonts w:ascii="Verdana" w:hAnsi="Verdana"/>
          <w:sz w:val="18"/>
          <w:szCs w:val="18"/>
        </w:rPr>
        <w:t xml:space="preserve"> </w:t>
      </w:r>
      <w:r w:rsidRPr="00E75B0C">
        <w:rPr>
          <w:rFonts w:ascii="Verdana" w:hAnsi="Verdana"/>
          <w:sz w:val="18"/>
          <w:szCs w:val="18"/>
          <w:lang w:val="en-US"/>
        </w:rPr>
        <w:t>estate</w:t>
      </w:r>
      <w:r w:rsidRPr="00E75B0C">
        <w:rPr>
          <w:rFonts w:ascii="Verdana" w:hAnsi="Verdana"/>
          <w:sz w:val="18"/>
          <w:szCs w:val="18"/>
        </w:rPr>
        <w:t>»</w:t>
      </w:r>
      <w:r w:rsidR="00274767" w:rsidRPr="00E75B0C">
        <w:rPr>
          <w:rFonts w:ascii="Verdana" w:hAnsi="Verdana"/>
          <w:sz w:val="18"/>
          <w:szCs w:val="18"/>
        </w:rPr>
        <w:t>.</w:t>
      </w:r>
    </w:p>
    <w:p w:rsidR="006C680C" w:rsidRPr="00E75B0C" w:rsidRDefault="006C680C" w:rsidP="006C680C">
      <w:pPr>
        <w:ind w:left="720"/>
        <w:rPr>
          <w:rFonts w:ascii="Verdana" w:hAnsi="Verdana"/>
          <w:sz w:val="18"/>
          <w:szCs w:val="18"/>
        </w:rPr>
      </w:pPr>
      <w:r w:rsidRPr="00E75B0C">
        <w:rPr>
          <w:rFonts w:ascii="Verdana" w:hAnsi="Verdana"/>
          <w:sz w:val="18"/>
          <w:szCs w:val="18"/>
        </w:rPr>
        <w:t xml:space="preserve">Συνήθως ναι. </w:t>
      </w:r>
      <w:r w:rsidR="005D2FD3" w:rsidRPr="00E75B0C">
        <w:rPr>
          <w:rFonts w:ascii="Verdana" w:hAnsi="Verdana"/>
          <w:sz w:val="18"/>
          <w:szCs w:val="18"/>
        </w:rPr>
        <w:t>Αλλά</w:t>
      </w:r>
      <w:r w:rsidRPr="00E75B0C">
        <w:rPr>
          <w:rFonts w:ascii="Verdana" w:hAnsi="Verdana"/>
          <w:sz w:val="18"/>
          <w:szCs w:val="18"/>
        </w:rPr>
        <w:t xml:space="preserve"> αυτό το όφελος μόνο συμπληρωματικά </w:t>
      </w:r>
      <w:r w:rsidR="005D2FD3" w:rsidRPr="00E75B0C">
        <w:rPr>
          <w:rFonts w:ascii="Verdana" w:hAnsi="Verdana"/>
          <w:sz w:val="18"/>
          <w:szCs w:val="18"/>
        </w:rPr>
        <w:t>μπορεί</w:t>
      </w:r>
      <w:r w:rsidRPr="00E75B0C">
        <w:rPr>
          <w:rFonts w:ascii="Verdana" w:hAnsi="Verdana"/>
          <w:sz w:val="18"/>
          <w:szCs w:val="18"/>
        </w:rPr>
        <w:t xml:space="preserve"> </w:t>
      </w:r>
      <w:r w:rsidR="005D2FD3" w:rsidRPr="00E75B0C">
        <w:rPr>
          <w:rFonts w:ascii="Verdana" w:hAnsi="Verdana"/>
          <w:sz w:val="18"/>
          <w:szCs w:val="18"/>
        </w:rPr>
        <w:t>να' χει</w:t>
      </w:r>
      <w:r w:rsidRPr="00E75B0C">
        <w:rPr>
          <w:rFonts w:ascii="Verdana" w:hAnsi="Verdana"/>
          <w:sz w:val="18"/>
          <w:szCs w:val="18"/>
        </w:rPr>
        <w:t xml:space="preserve"> σημασία, δεν επαρκεί δηλ. από μόνο του </w:t>
      </w:r>
      <w:r w:rsidR="00C106AD" w:rsidRPr="00E75B0C">
        <w:rPr>
          <w:rFonts w:ascii="Verdana" w:hAnsi="Verdana"/>
          <w:sz w:val="18"/>
          <w:szCs w:val="18"/>
        </w:rPr>
        <w:t xml:space="preserve">για </w:t>
      </w:r>
      <w:r w:rsidRPr="00E75B0C">
        <w:rPr>
          <w:rFonts w:ascii="Verdana" w:hAnsi="Verdana"/>
          <w:sz w:val="18"/>
          <w:szCs w:val="18"/>
        </w:rPr>
        <w:t xml:space="preserve">να δικαιολογήσει την επιβολή ενός ή περισσοτέρων φόρων, που ούτως ή άλλως έχουν </w:t>
      </w:r>
      <w:r w:rsidR="00935CD2" w:rsidRPr="00E75B0C">
        <w:rPr>
          <w:rFonts w:ascii="Verdana" w:hAnsi="Verdana"/>
          <w:sz w:val="18"/>
          <w:szCs w:val="18"/>
        </w:rPr>
        <w:t>επιπτώσεις στην κτηματαγο</w:t>
      </w:r>
      <w:r w:rsidR="005D2FD3" w:rsidRPr="00E75B0C">
        <w:rPr>
          <w:rFonts w:ascii="Verdana" w:hAnsi="Verdana"/>
          <w:sz w:val="18"/>
          <w:szCs w:val="18"/>
        </w:rPr>
        <w:t>ρά, συχνά δε</w:t>
      </w:r>
      <w:r w:rsidR="0084291B" w:rsidRPr="00E75B0C">
        <w:rPr>
          <w:rFonts w:ascii="Verdana" w:hAnsi="Verdana"/>
          <w:sz w:val="18"/>
          <w:szCs w:val="18"/>
        </w:rPr>
        <w:t>,</w:t>
      </w:r>
      <w:r w:rsidR="005D2FD3" w:rsidRPr="00E75B0C">
        <w:rPr>
          <w:rFonts w:ascii="Verdana" w:hAnsi="Verdana"/>
          <w:sz w:val="18"/>
          <w:szCs w:val="18"/>
        </w:rPr>
        <w:t xml:space="preserve"> επιβαρύνουν πολλά </w:t>
      </w:r>
      <w:r w:rsidR="00935CD2" w:rsidRPr="00E75B0C">
        <w:rPr>
          <w:rFonts w:ascii="Verdana" w:hAnsi="Verdana"/>
          <w:sz w:val="18"/>
          <w:szCs w:val="18"/>
        </w:rPr>
        <w:t>νοικοκυριά δυσανάλογα ως προς την φοροδοτική τ</w:t>
      </w:r>
      <w:r w:rsidR="0084291B" w:rsidRPr="00E75B0C">
        <w:rPr>
          <w:rFonts w:ascii="Verdana" w:hAnsi="Verdana"/>
          <w:sz w:val="18"/>
          <w:szCs w:val="18"/>
        </w:rPr>
        <w:t>ους</w:t>
      </w:r>
      <w:r w:rsidR="00935CD2" w:rsidRPr="00E75B0C">
        <w:rPr>
          <w:rFonts w:ascii="Verdana" w:hAnsi="Verdana"/>
          <w:sz w:val="18"/>
          <w:szCs w:val="18"/>
        </w:rPr>
        <w:t xml:space="preserve"> ικανότητα. Αν, επιπλέον, η πληροφόρη</w:t>
      </w:r>
      <w:r w:rsidR="005D2FD3" w:rsidRPr="00E75B0C">
        <w:rPr>
          <w:rFonts w:ascii="Verdana" w:hAnsi="Verdana"/>
          <w:sz w:val="18"/>
          <w:szCs w:val="18"/>
        </w:rPr>
        <w:t xml:space="preserve">ση αυτή είναι τόσο σπουδαία θα </w:t>
      </w:r>
      <w:r w:rsidR="00935CD2" w:rsidRPr="00E75B0C">
        <w:rPr>
          <w:rFonts w:ascii="Verdana" w:hAnsi="Verdana"/>
          <w:sz w:val="18"/>
          <w:szCs w:val="18"/>
        </w:rPr>
        <w:t xml:space="preserve">μπορούσε και </w:t>
      </w:r>
      <w:r w:rsidR="005D2FD3" w:rsidRPr="00E75B0C">
        <w:rPr>
          <w:rFonts w:ascii="Verdana" w:hAnsi="Verdana"/>
          <w:sz w:val="18"/>
          <w:szCs w:val="18"/>
        </w:rPr>
        <w:t>θα έπρεπε</w:t>
      </w:r>
      <w:r w:rsidR="00935CD2" w:rsidRPr="00E75B0C">
        <w:rPr>
          <w:rFonts w:ascii="Verdana" w:hAnsi="Verdana"/>
          <w:sz w:val="18"/>
          <w:szCs w:val="18"/>
        </w:rPr>
        <w:t xml:space="preserve"> να συλλέγεται ούτως ή άλλως, ανεξαρτήτως του αν </w:t>
      </w:r>
      <w:r w:rsidR="005D2FD3" w:rsidRPr="00E75B0C">
        <w:rPr>
          <w:rFonts w:ascii="Verdana" w:hAnsi="Verdana"/>
          <w:sz w:val="18"/>
          <w:szCs w:val="18"/>
        </w:rPr>
        <w:t>επιβάλλονται</w:t>
      </w:r>
      <w:r w:rsidR="00935CD2" w:rsidRPr="00E75B0C">
        <w:rPr>
          <w:rFonts w:ascii="Verdana" w:hAnsi="Verdana"/>
          <w:sz w:val="18"/>
          <w:szCs w:val="18"/>
        </w:rPr>
        <w:t xml:space="preserve"> ειδικά φόροι ακινήτων.</w:t>
      </w:r>
    </w:p>
    <w:p w:rsidR="006C680C" w:rsidRPr="00E75B0C" w:rsidRDefault="006C680C" w:rsidP="006C680C">
      <w:pPr>
        <w:rPr>
          <w:rFonts w:ascii="Verdana" w:hAnsi="Verdana"/>
          <w:sz w:val="18"/>
          <w:szCs w:val="18"/>
        </w:rPr>
      </w:pPr>
    </w:p>
    <w:p w:rsidR="001A02C2" w:rsidRPr="00E75B0C" w:rsidRDefault="001A02C2" w:rsidP="001A02C2">
      <w:pPr>
        <w:pStyle w:val="a3"/>
        <w:numPr>
          <w:ilvl w:val="0"/>
          <w:numId w:val="2"/>
        </w:numPr>
        <w:rPr>
          <w:rFonts w:ascii="Verdana" w:hAnsi="Verdana"/>
          <w:sz w:val="18"/>
          <w:szCs w:val="18"/>
        </w:rPr>
      </w:pPr>
      <w:r w:rsidRPr="00E75B0C">
        <w:rPr>
          <w:rFonts w:ascii="Verdana" w:hAnsi="Verdana"/>
          <w:sz w:val="18"/>
          <w:szCs w:val="18"/>
        </w:rPr>
        <w:t xml:space="preserve">«Συμβάλλουν σε κοινωνική – οικονομική «δικαιοσύνη» και «ισότητα», ακριβώς επειδή επιβαρύνουν περιουσία – συχνά, άλλωστε, η τελευταία έχει προέλθει από εισοδήματα, που δεν έχουν </w:t>
      </w:r>
      <w:r w:rsidR="005D2FD3" w:rsidRPr="00E75B0C">
        <w:rPr>
          <w:rFonts w:ascii="Verdana" w:hAnsi="Verdana"/>
          <w:sz w:val="18"/>
          <w:szCs w:val="18"/>
        </w:rPr>
        <w:t>δηλωθεί</w:t>
      </w:r>
      <w:r w:rsidRPr="00E75B0C">
        <w:rPr>
          <w:rFonts w:ascii="Verdana" w:hAnsi="Verdana"/>
          <w:sz w:val="18"/>
          <w:szCs w:val="18"/>
        </w:rPr>
        <w:t xml:space="preserve"> και </w:t>
      </w:r>
      <w:r w:rsidR="005D2FD3" w:rsidRPr="00E75B0C">
        <w:rPr>
          <w:rFonts w:ascii="Verdana" w:hAnsi="Verdana"/>
          <w:sz w:val="18"/>
          <w:szCs w:val="18"/>
        </w:rPr>
        <w:t>φορολογηθεί</w:t>
      </w:r>
      <w:r w:rsidRPr="00E75B0C">
        <w:rPr>
          <w:rFonts w:ascii="Verdana" w:hAnsi="Verdana"/>
          <w:sz w:val="18"/>
          <w:szCs w:val="18"/>
        </w:rPr>
        <w:t>»</w:t>
      </w:r>
      <w:r w:rsidR="0084291B" w:rsidRPr="00E75B0C">
        <w:rPr>
          <w:rFonts w:ascii="Verdana" w:hAnsi="Verdana"/>
          <w:sz w:val="18"/>
          <w:szCs w:val="18"/>
        </w:rPr>
        <w:t>.</w:t>
      </w:r>
    </w:p>
    <w:p w:rsidR="001A02C2" w:rsidRPr="00E75B0C" w:rsidRDefault="00F71F80" w:rsidP="00EB3277">
      <w:pPr>
        <w:ind w:left="720"/>
        <w:rPr>
          <w:rFonts w:ascii="Verdana" w:hAnsi="Verdana"/>
          <w:sz w:val="18"/>
          <w:szCs w:val="18"/>
        </w:rPr>
      </w:pPr>
      <w:r w:rsidRPr="00E75B0C">
        <w:rPr>
          <w:rFonts w:ascii="Verdana" w:hAnsi="Verdana"/>
          <w:sz w:val="18"/>
          <w:szCs w:val="18"/>
        </w:rPr>
        <w:t xml:space="preserve">Εν πολλοίς αυτό είναι ιδεολόγημα και όχι ουσία. </w:t>
      </w:r>
      <w:r w:rsidR="005D2FD3" w:rsidRPr="00E75B0C">
        <w:rPr>
          <w:rFonts w:ascii="Verdana" w:hAnsi="Verdana"/>
          <w:sz w:val="18"/>
          <w:szCs w:val="18"/>
        </w:rPr>
        <w:t>Είναι, λ.χ., η «ισότητα</w:t>
      </w:r>
      <w:r w:rsidR="00FD5B11" w:rsidRPr="00E75B0C">
        <w:rPr>
          <w:rFonts w:ascii="Verdana" w:hAnsi="Verdana"/>
          <w:sz w:val="18"/>
          <w:szCs w:val="18"/>
        </w:rPr>
        <w:t xml:space="preserve">» </w:t>
      </w:r>
      <w:r w:rsidR="005D2FD3" w:rsidRPr="00E75B0C">
        <w:rPr>
          <w:rFonts w:ascii="Verdana" w:hAnsi="Verdana"/>
          <w:sz w:val="18"/>
          <w:szCs w:val="18"/>
        </w:rPr>
        <w:t>σημαντικότερη</w:t>
      </w:r>
      <w:r w:rsidR="00FD5B11" w:rsidRPr="00E75B0C">
        <w:rPr>
          <w:rFonts w:ascii="Verdana" w:hAnsi="Verdana"/>
          <w:sz w:val="18"/>
          <w:szCs w:val="18"/>
        </w:rPr>
        <w:t xml:space="preserve"> αξία απ’ την οικονομική αποτελεσματικότητα; Εφ’ όσον η τελευταία προϋποθέτει κάποιον βαθμό </w:t>
      </w:r>
      <w:r w:rsidR="005D2FD3" w:rsidRPr="00E75B0C">
        <w:rPr>
          <w:rFonts w:ascii="Verdana" w:hAnsi="Verdana"/>
          <w:sz w:val="18"/>
          <w:szCs w:val="18"/>
        </w:rPr>
        <w:t>ανισότητας</w:t>
      </w:r>
      <w:r w:rsidR="00FD5B11" w:rsidRPr="00E75B0C">
        <w:rPr>
          <w:rFonts w:ascii="Verdana" w:hAnsi="Verdana"/>
          <w:sz w:val="18"/>
          <w:szCs w:val="18"/>
        </w:rPr>
        <w:t xml:space="preserve">, αλλά και οδηγεί σε αυτήν, η επιβολή πλήρους </w:t>
      </w:r>
      <w:r w:rsidR="005D2FD3" w:rsidRPr="00E75B0C">
        <w:rPr>
          <w:rFonts w:ascii="Verdana" w:hAnsi="Verdana"/>
          <w:sz w:val="18"/>
          <w:szCs w:val="18"/>
        </w:rPr>
        <w:t>ισότητας</w:t>
      </w:r>
      <w:r w:rsidR="00FD5B11" w:rsidRPr="00E75B0C">
        <w:rPr>
          <w:rFonts w:ascii="Verdana" w:hAnsi="Verdana"/>
          <w:sz w:val="18"/>
          <w:szCs w:val="18"/>
        </w:rPr>
        <w:t xml:space="preserve"> μάλλον συνεπάγεται γενική </w:t>
      </w:r>
      <w:r w:rsidR="005D2FD3" w:rsidRPr="00E75B0C">
        <w:rPr>
          <w:rFonts w:ascii="Verdana" w:hAnsi="Verdana"/>
          <w:sz w:val="18"/>
          <w:szCs w:val="18"/>
        </w:rPr>
        <w:t>μείωση</w:t>
      </w:r>
      <w:r w:rsidR="00FD5B11" w:rsidRPr="00E75B0C">
        <w:rPr>
          <w:rFonts w:ascii="Verdana" w:hAnsi="Verdana"/>
          <w:sz w:val="18"/>
          <w:szCs w:val="18"/>
        </w:rPr>
        <w:t xml:space="preserve"> της υλικής ευημερίας (πέραν του ότι ο ακραίος εξισωτισμός μόνο με δικτατορικά μέτρα επιτυγχάνεται). </w:t>
      </w:r>
      <w:r w:rsidR="005D2FD3" w:rsidRPr="00E75B0C">
        <w:rPr>
          <w:rFonts w:ascii="Verdana" w:hAnsi="Verdana"/>
          <w:sz w:val="18"/>
          <w:szCs w:val="18"/>
        </w:rPr>
        <w:t>Άλλωστε</w:t>
      </w:r>
      <w:r w:rsidR="006A531E" w:rsidRPr="00E75B0C">
        <w:rPr>
          <w:rFonts w:ascii="Verdana" w:hAnsi="Verdana"/>
          <w:sz w:val="18"/>
          <w:szCs w:val="18"/>
        </w:rPr>
        <w:t xml:space="preserve">, αν μεν η περιουσία προέρχεται από εισοδήματα, που έχουν εν τω συνόλω των </w:t>
      </w:r>
      <w:r w:rsidR="005D2FD3" w:rsidRPr="00E75B0C">
        <w:rPr>
          <w:rFonts w:ascii="Verdana" w:hAnsi="Verdana"/>
          <w:sz w:val="18"/>
          <w:szCs w:val="18"/>
        </w:rPr>
        <w:t>δηλωθεί</w:t>
      </w:r>
      <w:r w:rsidR="006A531E" w:rsidRPr="00E75B0C">
        <w:rPr>
          <w:rFonts w:ascii="Verdana" w:hAnsi="Verdana"/>
          <w:sz w:val="18"/>
          <w:szCs w:val="18"/>
        </w:rPr>
        <w:t xml:space="preserve"> και </w:t>
      </w:r>
      <w:r w:rsidR="005D2FD3" w:rsidRPr="00E75B0C">
        <w:rPr>
          <w:rFonts w:ascii="Verdana" w:hAnsi="Verdana"/>
          <w:sz w:val="18"/>
          <w:szCs w:val="18"/>
        </w:rPr>
        <w:t>φορολογηθεί</w:t>
      </w:r>
      <w:r w:rsidR="006A531E" w:rsidRPr="00E75B0C">
        <w:rPr>
          <w:rFonts w:ascii="Verdana" w:hAnsi="Verdana"/>
          <w:sz w:val="18"/>
          <w:szCs w:val="18"/>
        </w:rPr>
        <w:t xml:space="preserve">, τότε η φορολόγηση περιουσίας συνιστά εκ νέου </w:t>
      </w:r>
      <w:r w:rsidR="005D2FD3" w:rsidRPr="00E75B0C">
        <w:rPr>
          <w:rFonts w:ascii="Verdana" w:hAnsi="Verdana"/>
          <w:sz w:val="18"/>
          <w:szCs w:val="18"/>
        </w:rPr>
        <w:t>φορολόγηση</w:t>
      </w:r>
      <w:r w:rsidR="006A531E" w:rsidRPr="00E75B0C">
        <w:rPr>
          <w:rFonts w:ascii="Verdana" w:hAnsi="Verdana"/>
          <w:sz w:val="18"/>
          <w:szCs w:val="18"/>
        </w:rPr>
        <w:t xml:space="preserve"> ήδη φορολογηθέντων εισοδημάτων – με μεγάλες επιπτώσεις στην δομή κινήτρων, που χρειάζεται μία κοινωνία για να έχει οικονομική αποτελεσματικότητα. Αν όμως η περιουσία προέρχεται από εισοδήματα, που δεν έχουν </w:t>
      </w:r>
      <w:r w:rsidR="005D2FD3" w:rsidRPr="00E75B0C">
        <w:rPr>
          <w:rFonts w:ascii="Verdana" w:hAnsi="Verdana"/>
          <w:sz w:val="18"/>
          <w:szCs w:val="18"/>
        </w:rPr>
        <w:t>δηλωθεί</w:t>
      </w:r>
      <w:r w:rsidR="006A531E" w:rsidRPr="00E75B0C">
        <w:rPr>
          <w:rFonts w:ascii="Verdana" w:hAnsi="Verdana"/>
          <w:sz w:val="18"/>
          <w:szCs w:val="18"/>
        </w:rPr>
        <w:t xml:space="preserve"> και </w:t>
      </w:r>
      <w:r w:rsidR="005D2FD3" w:rsidRPr="00E75B0C">
        <w:rPr>
          <w:rFonts w:ascii="Verdana" w:hAnsi="Verdana"/>
          <w:sz w:val="18"/>
          <w:szCs w:val="18"/>
        </w:rPr>
        <w:t>φορολογηθεί</w:t>
      </w:r>
      <w:r w:rsidR="006A531E" w:rsidRPr="00E75B0C">
        <w:rPr>
          <w:rFonts w:ascii="Verdana" w:hAnsi="Verdana"/>
          <w:sz w:val="18"/>
          <w:szCs w:val="18"/>
        </w:rPr>
        <w:t xml:space="preserve">, τότε η φορολογικά </w:t>
      </w:r>
      <w:r w:rsidR="005352C1" w:rsidRPr="00E75B0C">
        <w:rPr>
          <w:rFonts w:ascii="Verdana" w:hAnsi="Verdana"/>
          <w:sz w:val="18"/>
          <w:szCs w:val="18"/>
        </w:rPr>
        <w:t>ενδεικνυόμενη</w:t>
      </w:r>
      <w:r w:rsidR="006A531E" w:rsidRPr="00E75B0C">
        <w:rPr>
          <w:rFonts w:ascii="Verdana" w:hAnsi="Verdana"/>
          <w:sz w:val="18"/>
          <w:szCs w:val="18"/>
        </w:rPr>
        <w:t xml:space="preserve"> λύση είναι η εφαρμογή «πόθεν </w:t>
      </w:r>
      <w:proofErr w:type="spellStart"/>
      <w:r w:rsidR="006A531E" w:rsidRPr="00E75B0C">
        <w:rPr>
          <w:rFonts w:ascii="Verdana" w:hAnsi="Verdana"/>
          <w:sz w:val="18"/>
          <w:szCs w:val="18"/>
        </w:rPr>
        <w:t>έσχες</w:t>
      </w:r>
      <w:proofErr w:type="spellEnd"/>
      <w:r w:rsidR="006A531E" w:rsidRPr="00E75B0C">
        <w:rPr>
          <w:rFonts w:ascii="Verdana" w:hAnsi="Verdana"/>
          <w:sz w:val="18"/>
          <w:szCs w:val="18"/>
        </w:rPr>
        <w:t xml:space="preserve">», όχι η εν γένει φορολογική επιβάρυνση της περιουσίας. </w:t>
      </w:r>
    </w:p>
    <w:p w:rsidR="001A02C2" w:rsidRPr="00E75B0C" w:rsidRDefault="001A02C2" w:rsidP="001A02C2">
      <w:pPr>
        <w:rPr>
          <w:rFonts w:ascii="Verdana" w:hAnsi="Verdana"/>
          <w:sz w:val="18"/>
          <w:szCs w:val="18"/>
        </w:rPr>
      </w:pPr>
    </w:p>
    <w:p w:rsidR="002C3713" w:rsidRPr="00E75B0C" w:rsidRDefault="00BC6BA3" w:rsidP="002C3713">
      <w:pPr>
        <w:pStyle w:val="a3"/>
        <w:numPr>
          <w:ilvl w:val="0"/>
          <w:numId w:val="2"/>
        </w:numPr>
        <w:rPr>
          <w:rFonts w:ascii="Verdana" w:hAnsi="Verdana"/>
          <w:sz w:val="18"/>
          <w:szCs w:val="18"/>
        </w:rPr>
      </w:pPr>
      <w:r w:rsidRPr="00E75B0C">
        <w:rPr>
          <w:rFonts w:ascii="Verdana" w:hAnsi="Verdana"/>
          <w:sz w:val="18"/>
          <w:szCs w:val="18"/>
        </w:rPr>
        <w:t>«</w:t>
      </w:r>
      <w:r w:rsidR="005D2FD3" w:rsidRPr="00E75B0C">
        <w:rPr>
          <w:rFonts w:ascii="Verdana" w:hAnsi="Verdana"/>
          <w:sz w:val="18"/>
          <w:szCs w:val="18"/>
        </w:rPr>
        <w:t>Όταν</w:t>
      </w:r>
      <w:r w:rsidR="002C3713" w:rsidRPr="00E75B0C">
        <w:rPr>
          <w:rFonts w:ascii="Verdana" w:hAnsi="Verdana"/>
          <w:sz w:val="18"/>
          <w:szCs w:val="18"/>
        </w:rPr>
        <w:t xml:space="preserve"> χρηματοδοτούν την ΤΑ, αυτοί οι φόροι (στην </w:t>
      </w:r>
      <w:r w:rsidR="005D2FD3" w:rsidRPr="00E75B0C">
        <w:rPr>
          <w:rFonts w:ascii="Verdana" w:hAnsi="Verdana"/>
          <w:sz w:val="18"/>
          <w:szCs w:val="18"/>
        </w:rPr>
        <w:t>πράξη</w:t>
      </w:r>
      <w:r w:rsidR="002C3713" w:rsidRPr="00E75B0C">
        <w:rPr>
          <w:rFonts w:ascii="Verdana" w:hAnsi="Verdana"/>
          <w:sz w:val="18"/>
          <w:szCs w:val="18"/>
        </w:rPr>
        <w:t>, οι φόροι κατοχής) είναι άκρως ανταποδοτικοί</w:t>
      </w:r>
      <w:r w:rsidR="00596BA9" w:rsidRPr="00E75B0C">
        <w:rPr>
          <w:rFonts w:ascii="Verdana" w:hAnsi="Verdana"/>
          <w:sz w:val="18"/>
          <w:szCs w:val="18"/>
        </w:rPr>
        <w:t>»</w:t>
      </w:r>
      <w:r w:rsidR="005352C1" w:rsidRPr="00E75B0C">
        <w:rPr>
          <w:rFonts w:ascii="Verdana" w:hAnsi="Verdana"/>
          <w:sz w:val="18"/>
          <w:szCs w:val="18"/>
        </w:rPr>
        <w:t>.</w:t>
      </w:r>
    </w:p>
    <w:p w:rsidR="00BC6BA3" w:rsidRPr="00E75B0C" w:rsidRDefault="00A678F2" w:rsidP="00BC6BA3">
      <w:pPr>
        <w:ind w:left="720"/>
        <w:rPr>
          <w:rFonts w:ascii="Verdana" w:hAnsi="Verdana"/>
          <w:sz w:val="18"/>
          <w:szCs w:val="18"/>
        </w:rPr>
      </w:pPr>
      <w:r w:rsidRPr="00E75B0C">
        <w:rPr>
          <w:rFonts w:ascii="Verdana" w:hAnsi="Verdana"/>
          <w:sz w:val="18"/>
          <w:szCs w:val="18"/>
        </w:rPr>
        <w:t>Αυτό</w:t>
      </w:r>
      <w:r w:rsidR="00596BA9" w:rsidRPr="00E75B0C">
        <w:rPr>
          <w:rFonts w:ascii="Verdana" w:hAnsi="Verdana"/>
          <w:sz w:val="18"/>
          <w:szCs w:val="18"/>
        </w:rPr>
        <w:t xml:space="preserve"> είναι ίσως το μόνο ισχυρό επιχείρημα υπέρ των φόρων κατοχής ακινήτων (όταν αυτοί </w:t>
      </w:r>
      <w:r w:rsidR="005D2FD3" w:rsidRPr="00E75B0C">
        <w:rPr>
          <w:rFonts w:ascii="Verdana" w:hAnsi="Verdana"/>
          <w:sz w:val="18"/>
          <w:szCs w:val="18"/>
        </w:rPr>
        <w:t>λογίζονται</w:t>
      </w:r>
      <w:r w:rsidR="00596BA9" w:rsidRPr="00E75B0C">
        <w:rPr>
          <w:rFonts w:ascii="Verdana" w:hAnsi="Verdana"/>
          <w:sz w:val="18"/>
          <w:szCs w:val="18"/>
        </w:rPr>
        <w:t xml:space="preserve"> και </w:t>
      </w:r>
      <w:r w:rsidR="005D2FD3" w:rsidRPr="00E75B0C">
        <w:rPr>
          <w:rFonts w:ascii="Verdana" w:hAnsi="Verdana"/>
          <w:sz w:val="18"/>
          <w:szCs w:val="18"/>
        </w:rPr>
        <w:t>εισπράττονται</w:t>
      </w:r>
      <w:r w:rsidR="00596BA9" w:rsidRPr="00E75B0C">
        <w:rPr>
          <w:rFonts w:ascii="Verdana" w:hAnsi="Verdana"/>
          <w:sz w:val="18"/>
          <w:szCs w:val="18"/>
        </w:rPr>
        <w:t xml:space="preserve"> απ’ την ΤΑ). </w:t>
      </w:r>
      <w:r w:rsidR="00BC6BA3" w:rsidRPr="00E75B0C">
        <w:rPr>
          <w:rFonts w:ascii="Verdana" w:hAnsi="Verdana"/>
          <w:sz w:val="18"/>
          <w:szCs w:val="18"/>
        </w:rPr>
        <w:t>Ωστόσο</w:t>
      </w:r>
      <w:r w:rsidR="005352C1" w:rsidRPr="00E75B0C">
        <w:rPr>
          <w:rFonts w:ascii="Verdana" w:hAnsi="Verdana"/>
          <w:sz w:val="18"/>
          <w:szCs w:val="18"/>
        </w:rPr>
        <w:t>,</w:t>
      </w:r>
      <w:r w:rsidR="00BC6BA3" w:rsidRPr="00E75B0C">
        <w:rPr>
          <w:rFonts w:ascii="Verdana" w:hAnsi="Verdana"/>
          <w:sz w:val="18"/>
          <w:szCs w:val="18"/>
        </w:rPr>
        <w:t xml:space="preserve"> η χρηματοδ</w:t>
      </w:r>
      <w:r w:rsidR="005352C1" w:rsidRPr="00E75B0C">
        <w:rPr>
          <w:rFonts w:ascii="Verdana" w:hAnsi="Verdana"/>
          <w:sz w:val="18"/>
          <w:szCs w:val="18"/>
        </w:rPr>
        <w:t xml:space="preserve">ότηση της ΤΑ μέσω φόρων κατοχής, αν και </w:t>
      </w:r>
      <w:r w:rsidR="00BC6BA3" w:rsidRPr="00E75B0C">
        <w:rPr>
          <w:rFonts w:ascii="Verdana" w:hAnsi="Verdana"/>
          <w:sz w:val="18"/>
          <w:szCs w:val="18"/>
        </w:rPr>
        <w:t xml:space="preserve">συνεπάγεται πολύ </w:t>
      </w:r>
      <w:r w:rsidR="005D2FD3" w:rsidRPr="00E75B0C">
        <w:rPr>
          <w:rFonts w:ascii="Verdana" w:hAnsi="Verdana"/>
          <w:sz w:val="18"/>
          <w:szCs w:val="18"/>
        </w:rPr>
        <w:t>περισσότερη</w:t>
      </w:r>
      <w:r w:rsidR="00BC6BA3" w:rsidRPr="00E75B0C">
        <w:rPr>
          <w:rFonts w:ascii="Verdana" w:hAnsi="Verdana"/>
          <w:sz w:val="18"/>
          <w:szCs w:val="18"/>
        </w:rPr>
        <w:t xml:space="preserve"> ανταποδοτικότητα απ’ </w:t>
      </w:r>
      <w:r w:rsidR="00E50744" w:rsidRPr="00E75B0C">
        <w:rPr>
          <w:rFonts w:ascii="Verdana" w:hAnsi="Verdana"/>
          <w:sz w:val="18"/>
          <w:szCs w:val="18"/>
        </w:rPr>
        <w:t>ότι</w:t>
      </w:r>
      <w:r w:rsidR="00BC6BA3" w:rsidRPr="00E75B0C">
        <w:rPr>
          <w:rFonts w:ascii="Verdana" w:hAnsi="Verdana"/>
          <w:sz w:val="18"/>
          <w:szCs w:val="18"/>
        </w:rPr>
        <w:t xml:space="preserve"> συμβαίνει όταν οι φόροι περιουσίας χρηματοδοτούν το κεντρικό κράτος, έχει προβλήματα. </w:t>
      </w:r>
    </w:p>
    <w:p w:rsidR="00BC6BA3" w:rsidRPr="00E75B0C" w:rsidRDefault="00BC6BA3" w:rsidP="00BC6BA3">
      <w:pPr>
        <w:pStyle w:val="a3"/>
        <w:numPr>
          <w:ilvl w:val="0"/>
          <w:numId w:val="3"/>
        </w:numPr>
        <w:rPr>
          <w:rFonts w:ascii="Verdana" w:hAnsi="Verdana"/>
          <w:sz w:val="18"/>
          <w:szCs w:val="18"/>
        </w:rPr>
      </w:pPr>
      <w:r w:rsidRPr="00E75B0C">
        <w:rPr>
          <w:rFonts w:ascii="Verdana" w:hAnsi="Verdana"/>
          <w:sz w:val="18"/>
          <w:szCs w:val="18"/>
        </w:rPr>
        <w:t xml:space="preserve">Πρώτον, επειδή και οι φόροι κατοχής από εισόδημα πληρώνονται. </w:t>
      </w:r>
      <w:r w:rsidR="00AB3E8F" w:rsidRPr="00E75B0C">
        <w:rPr>
          <w:rFonts w:ascii="Verdana" w:hAnsi="Verdana"/>
          <w:sz w:val="18"/>
          <w:szCs w:val="18"/>
        </w:rPr>
        <w:t>Άρα</w:t>
      </w:r>
      <w:r w:rsidRPr="00E75B0C">
        <w:rPr>
          <w:rFonts w:ascii="Verdana" w:hAnsi="Verdana"/>
          <w:sz w:val="18"/>
          <w:szCs w:val="18"/>
        </w:rPr>
        <w:t xml:space="preserve">, γιατί να μη </w:t>
      </w:r>
      <w:r w:rsidR="005D2FD3" w:rsidRPr="00E75B0C">
        <w:rPr>
          <w:rFonts w:ascii="Verdana" w:hAnsi="Verdana"/>
          <w:sz w:val="18"/>
          <w:szCs w:val="18"/>
        </w:rPr>
        <w:t>φορολογείται</w:t>
      </w:r>
      <w:r w:rsidRPr="00E75B0C">
        <w:rPr>
          <w:rFonts w:ascii="Verdana" w:hAnsi="Verdana"/>
          <w:sz w:val="18"/>
          <w:szCs w:val="18"/>
        </w:rPr>
        <w:t xml:space="preserve"> ευθέως το εισόδημα, πράγμα που σε προοδευτικό φορολογικό σύστημα εξασφαλίζει σεβασμό στην φοροδοτική ικανότητα των φορολογουμένων – ενδεχομένως και </w:t>
      </w:r>
      <w:r w:rsidR="005D2FD3" w:rsidRPr="00E75B0C">
        <w:rPr>
          <w:rFonts w:ascii="Verdana" w:hAnsi="Verdana"/>
          <w:sz w:val="18"/>
          <w:szCs w:val="18"/>
        </w:rPr>
        <w:t>λιγότερα</w:t>
      </w:r>
      <w:r w:rsidRPr="00E75B0C">
        <w:rPr>
          <w:rFonts w:ascii="Verdana" w:hAnsi="Verdana"/>
          <w:sz w:val="18"/>
          <w:szCs w:val="18"/>
        </w:rPr>
        <w:t xml:space="preserve"> έξοδα στον υπολογισμό και </w:t>
      </w:r>
      <w:r w:rsidR="005D2FD3" w:rsidRPr="00E75B0C">
        <w:rPr>
          <w:rFonts w:ascii="Verdana" w:hAnsi="Verdana"/>
          <w:sz w:val="18"/>
          <w:szCs w:val="18"/>
        </w:rPr>
        <w:t>είσπραξη</w:t>
      </w:r>
      <w:r w:rsidRPr="00E75B0C">
        <w:rPr>
          <w:rFonts w:ascii="Verdana" w:hAnsi="Verdana"/>
          <w:sz w:val="18"/>
          <w:szCs w:val="18"/>
        </w:rPr>
        <w:t xml:space="preserve"> του φόρου;</w:t>
      </w:r>
    </w:p>
    <w:p w:rsidR="00BC6BA3" w:rsidRPr="00E75B0C" w:rsidRDefault="00BC6BA3" w:rsidP="00BC6BA3">
      <w:pPr>
        <w:pStyle w:val="a3"/>
        <w:numPr>
          <w:ilvl w:val="0"/>
          <w:numId w:val="3"/>
        </w:numPr>
        <w:rPr>
          <w:rFonts w:ascii="Verdana" w:hAnsi="Verdana"/>
          <w:sz w:val="18"/>
          <w:szCs w:val="18"/>
        </w:rPr>
      </w:pPr>
      <w:r w:rsidRPr="00E75B0C">
        <w:rPr>
          <w:rFonts w:ascii="Verdana" w:hAnsi="Verdana"/>
          <w:sz w:val="18"/>
          <w:szCs w:val="18"/>
        </w:rPr>
        <w:t>Δεύτερον, επειδή δεν υπάρχει</w:t>
      </w:r>
      <w:r w:rsidR="00596BA9" w:rsidRPr="00E75B0C">
        <w:rPr>
          <w:rFonts w:ascii="Verdana" w:hAnsi="Verdana"/>
          <w:sz w:val="18"/>
          <w:szCs w:val="18"/>
        </w:rPr>
        <w:t xml:space="preserve"> πουθενά πλήρης συσχέτιση μεταξύ εισοδημάτων και αξιών κατεχομένων ακινήτων – άρα οι φόροι κατοχής, ακόμη και όταν </w:t>
      </w:r>
      <w:r w:rsidR="005D2FD3" w:rsidRPr="00E75B0C">
        <w:rPr>
          <w:rFonts w:ascii="Verdana" w:hAnsi="Verdana"/>
          <w:sz w:val="18"/>
          <w:szCs w:val="18"/>
        </w:rPr>
        <w:t>λογίζονται</w:t>
      </w:r>
      <w:r w:rsidR="00596BA9" w:rsidRPr="00E75B0C">
        <w:rPr>
          <w:rFonts w:ascii="Verdana" w:hAnsi="Verdana"/>
          <w:sz w:val="18"/>
          <w:szCs w:val="18"/>
        </w:rPr>
        <w:t xml:space="preserve"> και </w:t>
      </w:r>
      <w:r w:rsidR="005D2FD3" w:rsidRPr="00E75B0C">
        <w:rPr>
          <w:rFonts w:ascii="Verdana" w:hAnsi="Verdana"/>
          <w:sz w:val="18"/>
          <w:szCs w:val="18"/>
        </w:rPr>
        <w:t>εισπράττονται</w:t>
      </w:r>
      <w:r w:rsidR="00596BA9" w:rsidRPr="00E75B0C">
        <w:rPr>
          <w:rFonts w:ascii="Verdana" w:hAnsi="Verdana"/>
          <w:sz w:val="18"/>
          <w:szCs w:val="18"/>
        </w:rPr>
        <w:t xml:space="preserve"> απ’ την ΤΑ, τείνουν να είναι σε έντονο βαθμό αντιστρόφως προοδευτικοί, άρα, συχνά, δεν υπολογίζουν φοροδοτική ικανότητα.</w:t>
      </w:r>
    </w:p>
    <w:p w:rsidR="00743545" w:rsidRPr="00E75B0C" w:rsidRDefault="00743545" w:rsidP="00BC6BA3">
      <w:pPr>
        <w:pStyle w:val="a3"/>
        <w:numPr>
          <w:ilvl w:val="0"/>
          <w:numId w:val="3"/>
        </w:numPr>
        <w:rPr>
          <w:rFonts w:ascii="Verdana" w:hAnsi="Verdana"/>
          <w:sz w:val="18"/>
          <w:szCs w:val="18"/>
        </w:rPr>
      </w:pPr>
      <w:r w:rsidRPr="00E75B0C">
        <w:rPr>
          <w:rFonts w:ascii="Verdana" w:hAnsi="Verdana"/>
          <w:sz w:val="18"/>
          <w:szCs w:val="18"/>
        </w:rPr>
        <w:t xml:space="preserve">Τρίτον, </w:t>
      </w:r>
      <w:r w:rsidR="005D2FD3" w:rsidRPr="00E75B0C">
        <w:rPr>
          <w:rFonts w:ascii="Verdana" w:hAnsi="Verdana"/>
          <w:sz w:val="18"/>
          <w:szCs w:val="18"/>
        </w:rPr>
        <w:t>επειδή η έννοια «ανταποδοτικότητα</w:t>
      </w:r>
      <w:r w:rsidRPr="00E75B0C">
        <w:rPr>
          <w:rFonts w:ascii="Verdana" w:hAnsi="Verdana"/>
          <w:sz w:val="18"/>
          <w:szCs w:val="18"/>
        </w:rPr>
        <w:t xml:space="preserve">» είναι συχνά ασαφής. Ναι, υπάρχει </w:t>
      </w:r>
      <w:r w:rsidR="005D2FD3" w:rsidRPr="00E75B0C">
        <w:rPr>
          <w:rFonts w:ascii="Verdana" w:hAnsi="Verdana"/>
          <w:sz w:val="18"/>
          <w:szCs w:val="18"/>
        </w:rPr>
        <w:t xml:space="preserve">ανταποδοτικότητα αν αυτή ορίζεται </w:t>
      </w:r>
      <w:r w:rsidRPr="00E75B0C">
        <w:rPr>
          <w:rFonts w:ascii="Verdana" w:hAnsi="Verdana"/>
          <w:sz w:val="18"/>
          <w:szCs w:val="18"/>
        </w:rPr>
        <w:t xml:space="preserve">σαν </w:t>
      </w:r>
      <w:r w:rsidR="005D2FD3" w:rsidRPr="00E75B0C">
        <w:rPr>
          <w:rFonts w:ascii="Verdana" w:hAnsi="Verdana"/>
          <w:sz w:val="18"/>
          <w:szCs w:val="18"/>
        </w:rPr>
        <w:t>ισότητα</w:t>
      </w:r>
      <w:r w:rsidRPr="00E75B0C">
        <w:rPr>
          <w:rFonts w:ascii="Verdana" w:hAnsi="Verdana"/>
          <w:sz w:val="18"/>
          <w:szCs w:val="18"/>
        </w:rPr>
        <w:t xml:space="preserve"> εσόδων του δήμου με τα έξοδά του. Είναι όμως άλλο ζήτημα αν </w:t>
      </w:r>
      <w:r w:rsidR="005352C1" w:rsidRPr="00E75B0C">
        <w:rPr>
          <w:rFonts w:ascii="Verdana" w:hAnsi="Verdana"/>
          <w:sz w:val="18"/>
          <w:szCs w:val="18"/>
        </w:rPr>
        <w:t>οι</w:t>
      </w:r>
      <w:r w:rsidRPr="00E75B0C">
        <w:rPr>
          <w:rFonts w:ascii="Verdana" w:hAnsi="Verdana"/>
          <w:sz w:val="18"/>
          <w:szCs w:val="18"/>
        </w:rPr>
        <w:t xml:space="preserve"> συγκεκριμένες δα</w:t>
      </w:r>
      <w:r w:rsidR="005D2FD3" w:rsidRPr="00E75B0C">
        <w:rPr>
          <w:rFonts w:ascii="Verdana" w:hAnsi="Verdana"/>
          <w:sz w:val="18"/>
          <w:szCs w:val="18"/>
        </w:rPr>
        <w:t xml:space="preserve">πάνες πράγματι αποζημιώνουν τα </w:t>
      </w:r>
      <w:r w:rsidRPr="00E75B0C">
        <w:rPr>
          <w:rFonts w:ascii="Verdana" w:hAnsi="Verdana"/>
          <w:sz w:val="18"/>
          <w:szCs w:val="18"/>
        </w:rPr>
        <w:t xml:space="preserve">νοικοκυριά σε ένα δήμο για τους φόρους </w:t>
      </w:r>
      <w:r w:rsidRPr="00E75B0C">
        <w:rPr>
          <w:rFonts w:ascii="Verdana" w:hAnsi="Verdana"/>
          <w:sz w:val="18"/>
          <w:szCs w:val="18"/>
        </w:rPr>
        <w:lastRenderedPageBreak/>
        <w:t>κατοχής, που έχουν πληρώσει. Ο λόγος είναι</w:t>
      </w:r>
      <w:r w:rsidR="005D2FD3" w:rsidRPr="00E75B0C">
        <w:rPr>
          <w:rFonts w:ascii="Verdana" w:hAnsi="Verdana"/>
          <w:sz w:val="18"/>
          <w:szCs w:val="18"/>
        </w:rPr>
        <w:t xml:space="preserve">, πρώτον, πως αυτές </w:t>
      </w:r>
      <w:r w:rsidR="005352C1" w:rsidRPr="00E75B0C">
        <w:rPr>
          <w:rFonts w:ascii="Verdana" w:hAnsi="Verdana"/>
          <w:sz w:val="18"/>
          <w:szCs w:val="18"/>
        </w:rPr>
        <w:t xml:space="preserve">οι </w:t>
      </w:r>
      <w:r w:rsidR="005D2FD3" w:rsidRPr="00E75B0C">
        <w:rPr>
          <w:rFonts w:ascii="Verdana" w:hAnsi="Verdana"/>
          <w:sz w:val="18"/>
          <w:szCs w:val="18"/>
        </w:rPr>
        <w:t xml:space="preserve">δαπάνες </w:t>
      </w:r>
      <w:r w:rsidRPr="00E75B0C">
        <w:rPr>
          <w:rFonts w:ascii="Verdana" w:hAnsi="Verdana"/>
          <w:sz w:val="18"/>
          <w:szCs w:val="18"/>
        </w:rPr>
        <w:t>μπορεί κάλλιστα να</w:t>
      </w:r>
      <w:r w:rsidR="00A678F2" w:rsidRPr="00E75B0C">
        <w:rPr>
          <w:rFonts w:ascii="Verdana" w:hAnsi="Verdana"/>
          <w:sz w:val="18"/>
          <w:szCs w:val="18"/>
        </w:rPr>
        <w:t xml:space="preserve"> μη </w:t>
      </w:r>
      <w:r w:rsidR="005D2FD3" w:rsidRPr="00E75B0C">
        <w:rPr>
          <w:rFonts w:ascii="Verdana" w:hAnsi="Verdana"/>
          <w:sz w:val="18"/>
          <w:szCs w:val="18"/>
        </w:rPr>
        <w:t>μεταφράζονται</w:t>
      </w:r>
      <w:r w:rsidR="00A678F2" w:rsidRPr="00E75B0C">
        <w:rPr>
          <w:rFonts w:ascii="Verdana" w:hAnsi="Verdana"/>
          <w:sz w:val="18"/>
          <w:szCs w:val="18"/>
        </w:rPr>
        <w:t xml:space="preserve"> σε αποδεκτή ποιότητα των υπηρεσιών, που παρέχει ο δήμος</w:t>
      </w:r>
      <w:r w:rsidR="005D2FD3" w:rsidRPr="00E75B0C">
        <w:rPr>
          <w:rFonts w:ascii="Verdana" w:hAnsi="Verdana"/>
          <w:sz w:val="18"/>
          <w:szCs w:val="18"/>
        </w:rPr>
        <w:t xml:space="preserve">. Δεύτερον, πως </w:t>
      </w:r>
      <w:r w:rsidRPr="00E75B0C">
        <w:rPr>
          <w:rFonts w:ascii="Verdana" w:hAnsi="Verdana"/>
          <w:sz w:val="18"/>
          <w:szCs w:val="18"/>
        </w:rPr>
        <w:t xml:space="preserve">μπορεί να πηγαίνουν σε μέρος μόνο των </w:t>
      </w:r>
      <w:r w:rsidR="005D2FD3" w:rsidRPr="00E75B0C">
        <w:rPr>
          <w:rFonts w:ascii="Verdana" w:hAnsi="Verdana"/>
          <w:sz w:val="18"/>
          <w:szCs w:val="18"/>
        </w:rPr>
        <w:t>νοικοκυριών</w:t>
      </w:r>
      <w:r w:rsidRPr="00E75B0C">
        <w:rPr>
          <w:rFonts w:ascii="Verdana" w:hAnsi="Verdana"/>
          <w:sz w:val="18"/>
          <w:szCs w:val="18"/>
        </w:rPr>
        <w:t xml:space="preserve"> ενός δήμου (έστω και της πλειοψηφίας), οπότε δεν υπάρχει </w:t>
      </w:r>
      <w:r w:rsidR="00AB3E8F" w:rsidRPr="00E75B0C">
        <w:rPr>
          <w:rFonts w:ascii="Verdana" w:hAnsi="Verdana"/>
          <w:sz w:val="18"/>
          <w:szCs w:val="18"/>
        </w:rPr>
        <w:t xml:space="preserve">ανταποδοτικότητα για </w:t>
      </w:r>
      <w:r w:rsidR="005352C1" w:rsidRPr="00E75B0C">
        <w:rPr>
          <w:rFonts w:ascii="Verdana" w:hAnsi="Verdana"/>
          <w:sz w:val="18"/>
          <w:szCs w:val="18"/>
        </w:rPr>
        <w:t xml:space="preserve">ένα </w:t>
      </w:r>
      <w:r w:rsidR="00AB3E8F" w:rsidRPr="00E75B0C">
        <w:rPr>
          <w:rFonts w:ascii="Verdana" w:hAnsi="Verdana"/>
          <w:sz w:val="18"/>
          <w:szCs w:val="18"/>
        </w:rPr>
        <w:t xml:space="preserve">μέρος τουλάχιστον των </w:t>
      </w:r>
      <w:r w:rsidRPr="00E75B0C">
        <w:rPr>
          <w:rFonts w:ascii="Verdana" w:hAnsi="Verdana"/>
          <w:sz w:val="18"/>
          <w:szCs w:val="18"/>
        </w:rPr>
        <w:t>νοικοκυριών του δήμου. Πάντως, αυτά τα προβλήματα με την έννοια «</w:t>
      </w:r>
      <w:r w:rsidR="00AB3E8F" w:rsidRPr="00E75B0C">
        <w:rPr>
          <w:rFonts w:ascii="Verdana" w:hAnsi="Verdana"/>
          <w:sz w:val="18"/>
          <w:szCs w:val="18"/>
        </w:rPr>
        <w:t>ανταποδοτικότητα</w:t>
      </w:r>
      <w:r w:rsidRPr="00E75B0C">
        <w:rPr>
          <w:rFonts w:ascii="Verdana" w:hAnsi="Verdana"/>
          <w:sz w:val="18"/>
          <w:szCs w:val="18"/>
        </w:rPr>
        <w:t xml:space="preserve">» θα υπήρχαν είτε ο δήμος </w:t>
      </w:r>
      <w:r w:rsidR="00AB3E8F" w:rsidRPr="00E75B0C">
        <w:rPr>
          <w:rFonts w:ascii="Verdana" w:hAnsi="Verdana"/>
          <w:sz w:val="18"/>
          <w:szCs w:val="18"/>
        </w:rPr>
        <w:t>χρηματοδοτούταν</w:t>
      </w:r>
      <w:r w:rsidRPr="00E75B0C">
        <w:rPr>
          <w:rFonts w:ascii="Verdana" w:hAnsi="Verdana"/>
          <w:sz w:val="18"/>
          <w:szCs w:val="18"/>
        </w:rPr>
        <w:t xml:space="preserve"> από φόρους κατοχής είτε από το εισόδημα των δημοτών ή ιδιοκτητών ακινήτων εντός αυτού. </w:t>
      </w:r>
    </w:p>
    <w:p w:rsidR="00DA62D8" w:rsidRPr="00E75B0C" w:rsidRDefault="00DA62D8" w:rsidP="00DA62D8">
      <w:pPr>
        <w:rPr>
          <w:rFonts w:ascii="Verdana" w:hAnsi="Verdana"/>
          <w:sz w:val="18"/>
          <w:szCs w:val="18"/>
        </w:rPr>
      </w:pPr>
    </w:p>
    <w:p w:rsidR="00DA62D8" w:rsidRPr="00E75B0C" w:rsidRDefault="00DA62D8" w:rsidP="00DA62D8">
      <w:pPr>
        <w:pStyle w:val="a3"/>
        <w:numPr>
          <w:ilvl w:val="0"/>
          <w:numId w:val="2"/>
        </w:numPr>
        <w:rPr>
          <w:rFonts w:ascii="Verdana" w:hAnsi="Verdana"/>
          <w:sz w:val="18"/>
          <w:szCs w:val="18"/>
        </w:rPr>
      </w:pPr>
      <w:r w:rsidRPr="00E75B0C">
        <w:rPr>
          <w:rFonts w:ascii="Verdana" w:hAnsi="Verdana"/>
          <w:sz w:val="18"/>
          <w:szCs w:val="18"/>
        </w:rPr>
        <w:t xml:space="preserve">«Η ροή εσόδων από φόρους κατοχής ακινήτων είναι </w:t>
      </w:r>
      <w:r w:rsidR="00AB3E8F" w:rsidRPr="00E75B0C">
        <w:rPr>
          <w:rFonts w:ascii="Verdana" w:hAnsi="Verdana"/>
          <w:sz w:val="18"/>
          <w:szCs w:val="18"/>
        </w:rPr>
        <w:t>πιο</w:t>
      </w:r>
      <w:r w:rsidRPr="00E75B0C">
        <w:rPr>
          <w:rFonts w:ascii="Verdana" w:hAnsi="Verdana"/>
          <w:sz w:val="18"/>
          <w:szCs w:val="18"/>
        </w:rPr>
        <w:t xml:space="preserve"> ομαλή και π</w:t>
      </w:r>
      <w:r w:rsidR="00AB3E8F" w:rsidRPr="00E75B0C">
        <w:rPr>
          <w:rFonts w:ascii="Verdana" w:hAnsi="Verdana"/>
          <w:sz w:val="18"/>
          <w:szCs w:val="18"/>
        </w:rPr>
        <w:t xml:space="preserve">ροβλέψιμη από </w:t>
      </w:r>
      <w:r w:rsidR="00E50744" w:rsidRPr="00E75B0C">
        <w:rPr>
          <w:rFonts w:ascii="Verdana" w:hAnsi="Verdana"/>
          <w:sz w:val="18"/>
          <w:szCs w:val="18"/>
        </w:rPr>
        <w:t>ότι</w:t>
      </w:r>
      <w:r w:rsidR="00AB3E8F" w:rsidRPr="00E75B0C">
        <w:rPr>
          <w:rFonts w:ascii="Verdana" w:hAnsi="Verdana"/>
          <w:sz w:val="18"/>
          <w:szCs w:val="18"/>
        </w:rPr>
        <w:t xml:space="preserve"> συμβαίνει ή </w:t>
      </w:r>
      <w:r w:rsidRPr="00E75B0C">
        <w:rPr>
          <w:rFonts w:ascii="Verdana" w:hAnsi="Verdana"/>
          <w:sz w:val="18"/>
          <w:szCs w:val="18"/>
        </w:rPr>
        <w:t xml:space="preserve">μπορεί να συμβαίνει με τα έσοδα απ’ τη </w:t>
      </w:r>
      <w:r w:rsidR="00AB3E8F" w:rsidRPr="00E75B0C">
        <w:rPr>
          <w:rFonts w:ascii="Verdana" w:hAnsi="Verdana"/>
          <w:sz w:val="18"/>
          <w:szCs w:val="18"/>
        </w:rPr>
        <w:t>φορολόγηση</w:t>
      </w:r>
      <w:r w:rsidRPr="00E75B0C">
        <w:rPr>
          <w:rFonts w:ascii="Verdana" w:hAnsi="Verdana"/>
          <w:sz w:val="18"/>
          <w:szCs w:val="18"/>
        </w:rPr>
        <w:t xml:space="preserve"> εισοδημάτων, τα οποία υπόκεινται </w:t>
      </w:r>
      <w:r w:rsidR="00AB3E8F" w:rsidRPr="00E75B0C">
        <w:rPr>
          <w:rFonts w:ascii="Verdana" w:hAnsi="Verdana"/>
          <w:sz w:val="18"/>
          <w:szCs w:val="18"/>
        </w:rPr>
        <w:t>αμεσότερα</w:t>
      </w:r>
      <w:r w:rsidRPr="00E75B0C">
        <w:rPr>
          <w:rFonts w:ascii="Verdana" w:hAnsi="Verdana"/>
          <w:sz w:val="18"/>
          <w:szCs w:val="18"/>
        </w:rPr>
        <w:t xml:space="preserve"> στις διακ</w:t>
      </w:r>
      <w:r w:rsidR="005352C1" w:rsidRPr="00E75B0C">
        <w:rPr>
          <w:rFonts w:ascii="Verdana" w:hAnsi="Verdana"/>
          <w:sz w:val="18"/>
          <w:szCs w:val="18"/>
        </w:rPr>
        <w:t>υμάνσεις του οικονομικού κύκλου</w:t>
      </w:r>
      <w:r w:rsidRPr="00E75B0C">
        <w:rPr>
          <w:rFonts w:ascii="Verdana" w:hAnsi="Verdana"/>
          <w:sz w:val="18"/>
          <w:szCs w:val="18"/>
        </w:rPr>
        <w:t>»</w:t>
      </w:r>
      <w:r w:rsidR="005352C1" w:rsidRPr="00E75B0C">
        <w:rPr>
          <w:rFonts w:ascii="Verdana" w:hAnsi="Verdana"/>
          <w:sz w:val="18"/>
          <w:szCs w:val="18"/>
        </w:rPr>
        <w:t>.</w:t>
      </w:r>
    </w:p>
    <w:p w:rsidR="002C3713" w:rsidRPr="00E75B0C" w:rsidRDefault="00DA62D8" w:rsidP="00663D70">
      <w:pPr>
        <w:ind w:left="709"/>
        <w:rPr>
          <w:rFonts w:ascii="Verdana" w:hAnsi="Verdana"/>
          <w:sz w:val="18"/>
          <w:szCs w:val="18"/>
        </w:rPr>
      </w:pPr>
      <w:r w:rsidRPr="00E75B0C">
        <w:rPr>
          <w:rFonts w:ascii="Verdana" w:hAnsi="Verdana"/>
          <w:sz w:val="18"/>
          <w:szCs w:val="18"/>
        </w:rPr>
        <w:t>Τ</w:t>
      </w:r>
      <w:r w:rsidR="00743545" w:rsidRPr="00E75B0C">
        <w:rPr>
          <w:rFonts w:ascii="Verdana" w:hAnsi="Verdana"/>
          <w:sz w:val="18"/>
          <w:szCs w:val="18"/>
        </w:rPr>
        <w:t>ο ότι τα έσοδα από φόρους κατοχή</w:t>
      </w:r>
      <w:r w:rsidR="00046294" w:rsidRPr="00E75B0C">
        <w:rPr>
          <w:rFonts w:ascii="Verdana" w:hAnsi="Verdana"/>
          <w:sz w:val="18"/>
          <w:szCs w:val="18"/>
        </w:rPr>
        <w:t>ς υπόκεινται σε μικρότερο βαθμό</w:t>
      </w:r>
      <w:r w:rsidR="00743545" w:rsidRPr="00E75B0C">
        <w:rPr>
          <w:rFonts w:ascii="Verdana" w:hAnsi="Verdana"/>
          <w:sz w:val="18"/>
          <w:szCs w:val="18"/>
        </w:rPr>
        <w:t xml:space="preserve"> στις διακυμάνσεις του οικονομικού </w:t>
      </w:r>
      <w:r w:rsidR="005352C1" w:rsidRPr="00E75B0C">
        <w:rPr>
          <w:rFonts w:ascii="Verdana" w:hAnsi="Verdana"/>
          <w:sz w:val="18"/>
          <w:szCs w:val="18"/>
        </w:rPr>
        <w:t>κύκλου από ό</w:t>
      </w:r>
      <w:r w:rsidRPr="00E75B0C">
        <w:rPr>
          <w:rFonts w:ascii="Verdana" w:hAnsi="Verdana"/>
          <w:sz w:val="18"/>
          <w:szCs w:val="18"/>
        </w:rPr>
        <w:t xml:space="preserve">τι τα εισοδήματα </w:t>
      </w:r>
      <w:r w:rsidR="00743545" w:rsidRPr="00E75B0C">
        <w:rPr>
          <w:rFonts w:ascii="Verdana" w:hAnsi="Verdana"/>
          <w:sz w:val="18"/>
          <w:szCs w:val="18"/>
        </w:rPr>
        <w:t>ακού</w:t>
      </w:r>
      <w:r w:rsidR="005352C1" w:rsidRPr="00E75B0C">
        <w:rPr>
          <w:rFonts w:ascii="Verdana" w:hAnsi="Verdana"/>
          <w:sz w:val="18"/>
          <w:szCs w:val="18"/>
        </w:rPr>
        <w:t>γ</w:t>
      </w:r>
      <w:r w:rsidR="00743545" w:rsidRPr="00E75B0C">
        <w:rPr>
          <w:rFonts w:ascii="Verdana" w:hAnsi="Verdana"/>
          <w:sz w:val="18"/>
          <w:szCs w:val="18"/>
        </w:rPr>
        <w:t xml:space="preserve">εται συχνά. </w:t>
      </w:r>
      <w:r w:rsidR="00046294" w:rsidRPr="00E75B0C">
        <w:rPr>
          <w:rFonts w:ascii="Verdana" w:hAnsi="Verdana"/>
          <w:sz w:val="18"/>
          <w:szCs w:val="18"/>
          <w:lang w:val="en-US"/>
        </w:rPr>
        <w:t>[</w:t>
      </w:r>
      <w:r w:rsidR="00046294" w:rsidRPr="00E75B0C">
        <w:rPr>
          <w:rFonts w:ascii="Verdana" w:hAnsi="Verdana"/>
          <w:sz w:val="18"/>
          <w:szCs w:val="18"/>
        </w:rPr>
        <w:t>Βλ</w:t>
      </w:r>
      <w:r w:rsidR="00046294" w:rsidRPr="00E75B0C">
        <w:rPr>
          <w:rFonts w:ascii="Verdana" w:hAnsi="Verdana"/>
          <w:sz w:val="18"/>
          <w:szCs w:val="18"/>
          <w:lang w:val="en-US"/>
        </w:rPr>
        <w:t xml:space="preserve">. J. </w:t>
      </w:r>
      <w:proofErr w:type="spellStart"/>
      <w:r w:rsidR="00046294" w:rsidRPr="00E75B0C">
        <w:rPr>
          <w:rFonts w:ascii="Verdana" w:hAnsi="Verdana"/>
          <w:sz w:val="18"/>
          <w:szCs w:val="18"/>
          <w:lang w:val="en-US"/>
        </w:rPr>
        <w:t>Norregaard</w:t>
      </w:r>
      <w:proofErr w:type="spellEnd"/>
      <w:r w:rsidR="00046294" w:rsidRPr="00E75B0C">
        <w:rPr>
          <w:rFonts w:ascii="Verdana" w:hAnsi="Verdana"/>
          <w:sz w:val="18"/>
          <w:szCs w:val="18"/>
          <w:lang w:val="en-US"/>
        </w:rPr>
        <w:t>, 2013: Taxing Immovable Property: Revenue Potential and Implementation Challenges. IMF</w:t>
      </w:r>
      <w:r w:rsidR="00046294" w:rsidRPr="00E75B0C">
        <w:rPr>
          <w:rFonts w:ascii="Verdana" w:hAnsi="Verdana"/>
          <w:sz w:val="18"/>
          <w:szCs w:val="18"/>
        </w:rPr>
        <w:t xml:space="preserve"> </w:t>
      </w:r>
      <w:r w:rsidR="00046294" w:rsidRPr="00E75B0C">
        <w:rPr>
          <w:rFonts w:ascii="Verdana" w:hAnsi="Verdana"/>
          <w:sz w:val="18"/>
          <w:szCs w:val="18"/>
          <w:lang w:val="en-US"/>
        </w:rPr>
        <w:t>WP</w:t>
      </w:r>
      <w:r w:rsidR="00046294" w:rsidRPr="00E75B0C">
        <w:rPr>
          <w:rFonts w:ascii="Verdana" w:hAnsi="Verdana"/>
          <w:sz w:val="18"/>
          <w:szCs w:val="18"/>
        </w:rPr>
        <w:t>/13/129</w:t>
      </w:r>
      <w:proofErr w:type="gramStart"/>
      <w:r w:rsidR="00680EC7" w:rsidRPr="00E75B0C">
        <w:rPr>
          <w:rFonts w:ascii="Verdana" w:hAnsi="Verdana"/>
          <w:sz w:val="18"/>
          <w:szCs w:val="18"/>
        </w:rPr>
        <w:t>,</w:t>
      </w:r>
      <w:r w:rsidR="00680EC7" w:rsidRPr="00E75B0C">
        <w:rPr>
          <w:rFonts w:ascii="Verdana" w:hAnsi="Verdana"/>
          <w:sz w:val="18"/>
          <w:szCs w:val="18"/>
          <w:lang w:val="en-US"/>
        </w:rPr>
        <w:t>pp</w:t>
      </w:r>
      <w:proofErr w:type="gramEnd"/>
      <w:r w:rsidR="00680EC7" w:rsidRPr="00E75B0C">
        <w:rPr>
          <w:rFonts w:ascii="Verdana" w:hAnsi="Verdana"/>
          <w:sz w:val="18"/>
          <w:szCs w:val="18"/>
        </w:rPr>
        <w:t>. 20-2.</w:t>
      </w:r>
      <w:r w:rsidR="00046294" w:rsidRPr="00E75B0C">
        <w:rPr>
          <w:rFonts w:ascii="Verdana" w:hAnsi="Verdana"/>
          <w:sz w:val="18"/>
          <w:szCs w:val="18"/>
        </w:rPr>
        <w:t>]</w:t>
      </w:r>
    </w:p>
    <w:p w:rsidR="00A6692A" w:rsidRPr="00E75B0C" w:rsidRDefault="00AB3E8F" w:rsidP="00663D70">
      <w:pPr>
        <w:ind w:left="709"/>
        <w:rPr>
          <w:rFonts w:ascii="Verdana" w:hAnsi="Verdana"/>
          <w:sz w:val="18"/>
          <w:szCs w:val="18"/>
        </w:rPr>
      </w:pPr>
      <w:r w:rsidRPr="00E75B0C">
        <w:rPr>
          <w:rFonts w:ascii="Verdana" w:hAnsi="Verdana"/>
          <w:sz w:val="18"/>
          <w:szCs w:val="18"/>
        </w:rPr>
        <w:t>Άλλωστε</w:t>
      </w:r>
      <w:r w:rsidR="005352C1" w:rsidRPr="00E75B0C">
        <w:rPr>
          <w:rFonts w:ascii="Verdana" w:hAnsi="Verdana"/>
          <w:sz w:val="18"/>
          <w:szCs w:val="18"/>
        </w:rPr>
        <w:t>,</w:t>
      </w:r>
      <w:r w:rsidR="00A6692A" w:rsidRPr="00E75B0C">
        <w:rPr>
          <w:rFonts w:ascii="Verdana" w:hAnsi="Verdana"/>
          <w:sz w:val="18"/>
          <w:szCs w:val="18"/>
        </w:rPr>
        <w:t xml:space="preserve"> αυτό φαίνεται απ’ τα ακόλουθα διαγράμματα</w:t>
      </w:r>
      <w:r w:rsidR="009519C5" w:rsidRPr="00E75B0C">
        <w:rPr>
          <w:rFonts w:ascii="Verdana" w:hAnsi="Verdana"/>
          <w:sz w:val="18"/>
          <w:szCs w:val="18"/>
        </w:rPr>
        <w:t xml:space="preserve"> (πηγή: ΟΟΣΑ)</w:t>
      </w:r>
      <w:r w:rsidR="005352C1" w:rsidRPr="00E75B0C">
        <w:rPr>
          <w:rFonts w:ascii="Verdana" w:hAnsi="Verdana"/>
          <w:sz w:val="18"/>
          <w:szCs w:val="18"/>
        </w:rPr>
        <w:t>, που δείχνουν τη</w:t>
      </w:r>
      <w:r w:rsidR="00A6692A" w:rsidRPr="00E75B0C">
        <w:rPr>
          <w:rFonts w:ascii="Verdana" w:hAnsi="Verdana"/>
          <w:sz w:val="18"/>
          <w:szCs w:val="18"/>
        </w:rPr>
        <w:t xml:space="preserve"> </w:t>
      </w:r>
      <w:r w:rsidRPr="00E75B0C">
        <w:rPr>
          <w:rFonts w:ascii="Verdana" w:hAnsi="Verdana"/>
          <w:sz w:val="18"/>
          <w:szCs w:val="18"/>
        </w:rPr>
        <w:t>σχέση</w:t>
      </w:r>
      <w:r w:rsidR="00A6692A" w:rsidRPr="00E75B0C">
        <w:rPr>
          <w:rFonts w:ascii="Verdana" w:hAnsi="Verdana"/>
          <w:sz w:val="18"/>
          <w:szCs w:val="18"/>
        </w:rPr>
        <w:t xml:space="preserve"> </w:t>
      </w:r>
      <w:r w:rsidR="001624A4" w:rsidRPr="00E75B0C">
        <w:rPr>
          <w:rFonts w:ascii="Verdana" w:hAnsi="Verdana"/>
          <w:sz w:val="18"/>
          <w:szCs w:val="18"/>
        </w:rPr>
        <w:t xml:space="preserve">ποσοστιαίων </w:t>
      </w:r>
      <w:r w:rsidR="00A6692A" w:rsidRPr="00E75B0C">
        <w:rPr>
          <w:rFonts w:ascii="Verdana" w:hAnsi="Verdana"/>
          <w:sz w:val="18"/>
          <w:szCs w:val="18"/>
        </w:rPr>
        <w:t xml:space="preserve">μεταβολών στο πραγματικό ΑΕΠ και </w:t>
      </w:r>
      <w:r w:rsidR="001624A4" w:rsidRPr="00E75B0C">
        <w:rPr>
          <w:rFonts w:ascii="Verdana" w:hAnsi="Verdana"/>
          <w:sz w:val="18"/>
          <w:szCs w:val="18"/>
        </w:rPr>
        <w:t xml:space="preserve">ποσοστού </w:t>
      </w:r>
      <w:r w:rsidR="00A6692A" w:rsidRPr="00E75B0C">
        <w:rPr>
          <w:rFonts w:ascii="Verdana" w:hAnsi="Verdana"/>
          <w:sz w:val="18"/>
          <w:szCs w:val="18"/>
        </w:rPr>
        <w:t>εσόδων από φό</w:t>
      </w:r>
      <w:r w:rsidR="005352C1" w:rsidRPr="00E75B0C">
        <w:rPr>
          <w:rFonts w:ascii="Verdana" w:hAnsi="Verdana"/>
          <w:sz w:val="18"/>
          <w:szCs w:val="18"/>
        </w:rPr>
        <w:t>ρους ακινήτων (όχι μόνο κατοχής</w:t>
      </w:r>
      <w:r w:rsidR="00A6692A" w:rsidRPr="00E75B0C">
        <w:rPr>
          <w:rFonts w:ascii="Verdana" w:hAnsi="Verdana"/>
          <w:sz w:val="18"/>
          <w:szCs w:val="18"/>
        </w:rPr>
        <w:t xml:space="preserve"> μα όλων των φόρων ακινήτων)</w:t>
      </w:r>
      <w:r w:rsidR="001624A4" w:rsidRPr="00E75B0C">
        <w:rPr>
          <w:rFonts w:ascii="Verdana" w:hAnsi="Verdana"/>
          <w:sz w:val="18"/>
          <w:szCs w:val="18"/>
        </w:rPr>
        <w:t xml:space="preserve"> στο ΑΕΠ</w:t>
      </w:r>
      <w:r w:rsidR="00A6692A" w:rsidRPr="00E75B0C">
        <w:rPr>
          <w:rFonts w:ascii="Verdana" w:hAnsi="Verdana"/>
          <w:sz w:val="18"/>
          <w:szCs w:val="18"/>
        </w:rPr>
        <w:t xml:space="preserve"> σε μία σειρά </w:t>
      </w:r>
      <w:r w:rsidR="005352C1" w:rsidRPr="00E75B0C">
        <w:rPr>
          <w:rFonts w:ascii="Verdana" w:hAnsi="Verdana"/>
          <w:sz w:val="18"/>
          <w:szCs w:val="18"/>
        </w:rPr>
        <w:t>χωρών</w:t>
      </w:r>
      <w:r w:rsidR="00DD5524" w:rsidRPr="00E75B0C">
        <w:rPr>
          <w:rFonts w:ascii="Verdana" w:hAnsi="Verdana"/>
          <w:sz w:val="18"/>
          <w:szCs w:val="18"/>
        </w:rPr>
        <w:t xml:space="preserve"> την περίοδο 1998-2011</w:t>
      </w:r>
      <w:r w:rsidR="00A6692A" w:rsidRPr="00E75B0C">
        <w:rPr>
          <w:rFonts w:ascii="Verdana" w:hAnsi="Verdana"/>
          <w:sz w:val="18"/>
          <w:szCs w:val="18"/>
        </w:rPr>
        <w:t>, καθώς και τον αντίστοιχο συντελεστή καθορισμού:</w:t>
      </w:r>
    </w:p>
    <w:p w:rsidR="00A6692A" w:rsidRPr="00E75B0C" w:rsidRDefault="001624A4" w:rsidP="00BE4A9C">
      <w:pPr>
        <w:spacing w:line="240" w:lineRule="auto"/>
        <w:ind w:left="709"/>
        <w:rPr>
          <w:rFonts w:ascii="Verdana" w:hAnsi="Verdana"/>
          <w:sz w:val="18"/>
          <w:szCs w:val="18"/>
        </w:rPr>
      </w:pPr>
      <w:r w:rsidRPr="00E75B0C">
        <w:rPr>
          <w:rFonts w:ascii="Verdana" w:hAnsi="Verdana"/>
          <w:sz w:val="18"/>
          <w:szCs w:val="18"/>
        </w:rPr>
        <w:t>Από τα διαγράμματα προκύπτει πως δεν υπάρχει σαφής σχέση μεταξύ των 2 μεταβλητών – δηλ. το ποσοστό φορολογικών εσόδων από φόρους ακινήτων στο ΑΕΠ είναι εν πολλοίς (όχι απολύτως) ανεξάρτητο απ’ τις μεταβολές του πραγματικού ΑΕΠ.</w:t>
      </w:r>
      <w:r w:rsidR="00DD5524" w:rsidRPr="00E75B0C">
        <w:rPr>
          <w:rFonts w:ascii="Verdana" w:hAnsi="Verdana"/>
          <w:sz w:val="18"/>
          <w:szCs w:val="18"/>
        </w:rPr>
        <w:t xml:space="preserve"> Κάποιες μάλιστα φορές (π.χ., ΗΠΑ, 1998-2011) η σχέση, αν μη τι άλλο, δείχνει να είναι ελαφρώς αρνητική, αντί θετική!</w:t>
      </w:r>
    </w:p>
    <w:p w:rsidR="00A6692A" w:rsidRPr="00E75B0C" w:rsidRDefault="00A6692A" w:rsidP="00BE4A9C">
      <w:pPr>
        <w:spacing w:line="240" w:lineRule="auto"/>
        <w:ind w:left="709"/>
        <w:rPr>
          <w:rFonts w:ascii="Verdana" w:hAnsi="Verdana"/>
          <w:sz w:val="18"/>
          <w:szCs w:val="18"/>
        </w:rPr>
      </w:pPr>
    </w:p>
    <w:p w:rsidR="00A6692A" w:rsidRPr="00E75B0C" w:rsidRDefault="00DD5524" w:rsidP="00BE4A9C">
      <w:pPr>
        <w:spacing w:line="240" w:lineRule="auto"/>
        <w:ind w:left="709"/>
        <w:rPr>
          <w:rFonts w:ascii="Verdana" w:hAnsi="Verdana"/>
          <w:sz w:val="18"/>
          <w:szCs w:val="18"/>
          <w:lang w:val="en-US"/>
        </w:rPr>
      </w:pPr>
      <w:r w:rsidRPr="00E75B0C">
        <w:rPr>
          <w:rFonts w:ascii="Verdana" w:hAnsi="Verdana"/>
          <w:sz w:val="18"/>
          <w:szCs w:val="18"/>
        </w:rPr>
        <w:object w:dxaOrig="7202"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6pt" o:ole="">
            <v:imagedata r:id="rId9" o:title=""/>
          </v:shape>
          <o:OLEObject Type="Embed" ProgID="PowerPoint.Slide.12" ShapeID="_x0000_i1025" DrawAspect="Content" ObjectID="_1473071087" r:id="rId10"/>
        </w:object>
      </w:r>
    </w:p>
    <w:p w:rsidR="00BE4A9C" w:rsidRPr="00E75B0C" w:rsidRDefault="00DD5524" w:rsidP="001624A4">
      <w:pPr>
        <w:spacing w:line="240" w:lineRule="auto"/>
        <w:ind w:left="709"/>
        <w:rPr>
          <w:rFonts w:ascii="Verdana" w:hAnsi="Verdana"/>
          <w:sz w:val="18"/>
          <w:szCs w:val="18"/>
        </w:rPr>
      </w:pPr>
      <w:r w:rsidRPr="00E75B0C">
        <w:rPr>
          <w:rFonts w:ascii="Verdana" w:hAnsi="Verdana"/>
          <w:sz w:val="18"/>
          <w:szCs w:val="18"/>
        </w:rPr>
        <w:object w:dxaOrig="7202" w:dyaOrig="5397">
          <v:shape id="_x0000_i1026" type="#_x0000_t75" style="width:5in;height:269.6pt" o:ole="">
            <v:imagedata r:id="rId11" o:title=""/>
          </v:shape>
          <o:OLEObject Type="Embed" ProgID="PowerPoint.Slide.12" ShapeID="_x0000_i1026" DrawAspect="Content" ObjectID="_1473071088" r:id="rId12"/>
        </w:object>
      </w:r>
    </w:p>
    <w:p w:rsidR="001624A4" w:rsidRPr="00E75B0C" w:rsidRDefault="00433FBE" w:rsidP="001624A4">
      <w:pPr>
        <w:spacing w:line="240" w:lineRule="auto"/>
        <w:ind w:left="709"/>
        <w:rPr>
          <w:rFonts w:ascii="Verdana" w:hAnsi="Verdana"/>
          <w:sz w:val="18"/>
          <w:szCs w:val="18"/>
        </w:rPr>
      </w:pPr>
      <w:r w:rsidRPr="00E75B0C">
        <w:rPr>
          <w:rFonts w:ascii="Verdana" w:hAnsi="Verdana"/>
          <w:sz w:val="18"/>
          <w:szCs w:val="18"/>
        </w:rPr>
        <w:object w:dxaOrig="7202" w:dyaOrig="5397">
          <v:shape id="_x0000_i1027" type="#_x0000_t75" style="width:5in;height:269.6pt" o:ole="">
            <v:imagedata r:id="rId13" o:title=""/>
          </v:shape>
          <o:OLEObject Type="Embed" ProgID="PowerPoint.Slide.12" ShapeID="_x0000_i1027" DrawAspect="Content" ObjectID="_1473071089" r:id="rId14"/>
        </w:object>
      </w:r>
    </w:p>
    <w:p w:rsidR="001624A4" w:rsidRPr="00E75B0C" w:rsidRDefault="008C7525" w:rsidP="001624A4">
      <w:pPr>
        <w:spacing w:line="240" w:lineRule="auto"/>
        <w:ind w:left="709"/>
        <w:rPr>
          <w:rFonts w:ascii="Verdana" w:hAnsi="Verdana"/>
          <w:sz w:val="18"/>
          <w:szCs w:val="18"/>
        </w:rPr>
      </w:pPr>
      <w:r w:rsidRPr="00E75B0C">
        <w:rPr>
          <w:rFonts w:ascii="Verdana" w:hAnsi="Verdana"/>
          <w:sz w:val="18"/>
          <w:szCs w:val="18"/>
        </w:rPr>
        <w:object w:dxaOrig="7202" w:dyaOrig="5397">
          <v:shape id="_x0000_i1028" type="#_x0000_t75" style="width:5in;height:269.6pt" o:ole="">
            <v:imagedata r:id="rId15" o:title=""/>
          </v:shape>
          <o:OLEObject Type="Embed" ProgID="PowerPoint.Slide.12" ShapeID="_x0000_i1028" DrawAspect="Content" ObjectID="_1473071090" r:id="rId16"/>
        </w:object>
      </w:r>
    </w:p>
    <w:p w:rsidR="001624A4" w:rsidRPr="00E75B0C" w:rsidRDefault="008C7525" w:rsidP="001624A4">
      <w:pPr>
        <w:spacing w:line="240" w:lineRule="auto"/>
        <w:ind w:left="709"/>
        <w:rPr>
          <w:rFonts w:ascii="Verdana" w:hAnsi="Verdana"/>
          <w:sz w:val="18"/>
          <w:szCs w:val="18"/>
        </w:rPr>
      </w:pPr>
      <w:r w:rsidRPr="00E75B0C">
        <w:rPr>
          <w:rFonts w:ascii="Verdana" w:hAnsi="Verdana"/>
          <w:sz w:val="18"/>
          <w:szCs w:val="18"/>
        </w:rPr>
        <w:object w:dxaOrig="7202" w:dyaOrig="5397">
          <v:shape id="_x0000_i1029" type="#_x0000_t75" style="width:5in;height:269.6pt" o:ole="">
            <v:imagedata r:id="rId17" o:title=""/>
          </v:shape>
          <o:OLEObject Type="Embed" ProgID="PowerPoint.Slide.12" ShapeID="_x0000_i1029" DrawAspect="Content" ObjectID="_1473071091" r:id="rId18"/>
        </w:object>
      </w:r>
    </w:p>
    <w:p w:rsidR="001624A4" w:rsidRPr="00E75B0C" w:rsidRDefault="008C7525" w:rsidP="001624A4">
      <w:pPr>
        <w:spacing w:line="240" w:lineRule="auto"/>
        <w:ind w:left="709"/>
        <w:rPr>
          <w:rFonts w:ascii="Verdana" w:hAnsi="Verdana"/>
          <w:sz w:val="18"/>
          <w:szCs w:val="18"/>
        </w:rPr>
      </w:pPr>
      <w:r w:rsidRPr="00E75B0C">
        <w:rPr>
          <w:rFonts w:ascii="Verdana" w:hAnsi="Verdana"/>
          <w:sz w:val="18"/>
          <w:szCs w:val="18"/>
        </w:rPr>
        <w:object w:dxaOrig="7202" w:dyaOrig="5397">
          <v:shape id="_x0000_i1030" type="#_x0000_t75" style="width:5in;height:269.6pt" o:ole="">
            <v:imagedata r:id="rId19" o:title=""/>
          </v:shape>
          <o:OLEObject Type="Embed" ProgID="PowerPoint.Slide.12" ShapeID="_x0000_i1030" DrawAspect="Content" ObjectID="_1473071092" r:id="rId20"/>
        </w:object>
      </w:r>
    </w:p>
    <w:p w:rsidR="001624A4" w:rsidRPr="00E75B0C" w:rsidRDefault="008C7525" w:rsidP="001624A4">
      <w:pPr>
        <w:spacing w:line="240" w:lineRule="auto"/>
        <w:ind w:left="709"/>
        <w:rPr>
          <w:rFonts w:ascii="Verdana" w:hAnsi="Verdana"/>
          <w:sz w:val="18"/>
          <w:szCs w:val="18"/>
        </w:rPr>
      </w:pPr>
      <w:r w:rsidRPr="00E75B0C">
        <w:rPr>
          <w:rFonts w:ascii="Verdana" w:hAnsi="Verdana"/>
          <w:sz w:val="18"/>
          <w:szCs w:val="18"/>
        </w:rPr>
        <w:object w:dxaOrig="7202" w:dyaOrig="5397">
          <v:shape id="_x0000_i1031" type="#_x0000_t75" style="width:5in;height:269.6pt" o:ole="">
            <v:imagedata r:id="rId21" o:title=""/>
          </v:shape>
          <o:OLEObject Type="Embed" ProgID="PowerPoint.Slide.12" ShapeID="_x0000_i1031" DrawAspect="Content" ObjectID="_1473071093" r:id="rId22"/>
        </w:object>
      </w:r>
    </w:p>
    <w:p w:rsidR="001624A4" w:rsidRPr="00E75B0C" w:rsidRDefault="001624A4" w:rsidP="001624A4">
      <w:pPr>
        <w:spacing w:line="240" w:lineRule="auto"/>
        <w:ind w:left="709"/>
        <w:rPr>
          <w:rFonts w:ascii="Verdana" w:hAnsi="Verdana"/>
          <w:sz w:val="18"/>
          <w:szCs w:val="18"/>
        </w:rPr>
      </w:pPr>
    </w:p>
    <w:p w:rsidR="00046294" w:rsidRPr="00E75B0C" w:rsidRDefault="00AB3E8F" w:rsidP="00DA62D8">
      <w:pPr>
        <w:ind w:left="709"/>
        <w:rPr>
          <w:rFonts w:ascii="Verdana" w:hAnsi="Verdana"/>
          <w:sz w:val="18"/>
          <w:szCs w:val="18"/>
        </w:rPr>
      </w:pPr>
      <w:r w:rsidRPr="00E75B0C">
        <w:rPr>
          <w:rFonts w:ascii="Verdana" w:hAnsi="Verdana"/>
          <w:sz w:val="18"/>
          <w:szCs w:val="18"/>
        </w:rPr>
        <w:t>Όμως</w:t>
      </w:r>
      <w:r w:rsidR="00046294" w:rsidRPr="00E75B0C">
        <w:rPr>
          <w:rFonts w:ascii="Verdana" w:hAnsi="Verdana"/>
          <w:sz w:val="18"/>
          <w:szCs w:val="18"/>
        </w:rPr>
        <w:t xml:space="preserve"> το επιχείρημα έχει </w:t>
      </w:r>
      <w:r w:rsidRPr="00E75B0C">
        <w:rPr>
          <w:rFonts w:ascii="Verdana" w:hAnsi="Verdana"/>
          <w:sz w:val="18"/>
          <w:szCs w:val="18"/>
        </w:rPr>
        <w:t>περιορισμένη</w:t>
      </w:r>
      <w:r w:rsidR="00046294" w:rsidRPr="00E75B0C">
        <w:rPr>
          <w:rFonts w:ascii="Verdana" w:hAnsi="Verdana"/>
          <w:sz w:val="18"/>
          <w:szCs w:val="18"/>
        </w:rPr>
        <w:t xml:space="preserve"> εμπειρική </w:t>
      </w:r>
      <w:r w:rsidRPr="00E75B0C">
        <w:rPr>
          <w:rFonts w:ascii="Verdana" w:hAnsi="Verdana"/>
          <w:sz w:val="18"/>
          <w:szCs w:val="18"/>
        </w:rPr>
        <w:t>επιβεβαίωση</w:t>
      </w:r>
      <w:r w:rsidR="001624A4" w:rsidRPr="00E75B0C">
        <w:rPr>
          <w:rFonts w:ascii="Verdana" w:hAnsi="Verdana"/>
          <w:sz w:val="18"/>
          <w:szCs w:val="18"/>
        </w:rPr>
        <w:t xml:space="preserve"> (δεν έχει δηλ. καθολική και διαχρονική εφαρμογή)</w:t>
      </w:r>
      <w:r w:rsidR="00680EC7" w:rsidRPr="00E75B0C">
        <w:rPr>
          <w:rFonts w:ascii="Verdana" w:hAnsi="Verdana"/>
          <w:sz w:val="18"/>
          <w:szCs w:val="18"/>
        </w:rPr>
        <w:t xml:space="preserve">, ενώ εγείρει κι άλλες αντιρρήσεις. </w:t>
      </w:r>
      <w:r w:rsidRPr="00E75B0C">
        <w:rPr>
          <w:rFonts w:ascii="Verdana" w:hAnsi="Verdana"/>
          <w:sz w:val="18"/>
          <w:szCs w:val="18"/>
        </w:rPr>
        <w:t>Κυριότερες</w:t>
      </w:r>
      <w:r w:rsidR="00777C2F" w:rsidRPr="00E75B0C">
        <w:rPr>
          <w:rFonts w:ascii="Verdana" w:hAnsi="Verdana"/>
          <w:sz w:val="18"/>
          <w:szCs w:val="18"/>
        </w:rPr>
        <w:t xml:space="preserve"> εξ αυτών είναι:</w:t>
      </w:r>
    </w:p>
    <w:p w:rsidR="00777C2F" w:rsidRPr="00E75B0C" w:rsidRDefault="00777C2F" w:rsidP="00777C2F">
      <w:pPr>
        <w:pStyle w:val="a3"/>
        <w:numPr>
          <w:ilvl w:val="1"/>
          <w:numId w:val="3"/>
        </w:numPr>
        <w:rPr>
          <w:rFonts w:ascii="Verdana" w:hAnsi="Verdana"/>
          <w:sz w:val="18"/>
          <w:szCs w:val="18"/>
        </w:rPr>
      </w:pPr>
      <w:r w:rsidRPr="00E75B0C">
        <w:rPr>
          <w:rFonts w:ascii="Verdana" w:hAnsi="Verdana"/>
          <w:sz w:val="18"/>
          <w:szCs w:val="18"/>
        </w:rPr>
        <w:t xml:space="preserve">Στο βαθμό που τα έσοδα από φόρους κατοχής επηρεάζονται </w:t>
      </w:r>
      <w:r w:rsidR="00AB3E8F" w:rsidRPr="00E75B0C">
        <w:rPr>
          <w:rFonts w:ascii="Verdana" w:hAnsi="Verdana"/>
          <w:sz w:val="18"/>
          <w:szCs w:val="18"/>
        </w:rPr>
        <w:t>λιγότερο</w:t>
      </w:r>
      <w:r w:rsidR="005352C1" w:rsidRPr="00E75B0C">
        <w:rPr>
          <w:rFonts w:ascii="Verdana" w:hAnsi="Verdana"/>
          <w:sz w:val="18"/>
          <w:szCs w:val="18"/>
        </w:rPr>
        <w:t xml:space="preserve"> απ’ τον οικονομικό κύκλο από ό</w:t>
      </w:r>
      <w:r w:rsidRPr="00E75B0C">
        <w:rPr>
          <w:rFonts w:ascii="Verdana" w:hAnsi="Verdana"/>
          <w:sz w:val="18"/>
          <w:szCs w:val="18"/>
        </w:rPr>
        <w:t xml:space="preserve">τι άλλες κατηγορίες φόρων, τείνουν να επιδεινώνουν τη δεδομένη </w:t>
      </w:r>
      <w:r w:rsidR="00AB3E8F" w:rsidRPr="00E75B0C">
        <w:rPr>
          <w:rFonts w:ascii="Verdana" w:hAnsi="Verdana"/>
          <w:sz w:val="18"/>
          <w:szCs w:val="18"/>
        </w:rPr>
        <w:t>φάση</w:t>
      </w:r>
      <w:r w:rsidRPr="00E75B0C">
        <w:rPr>
          <w:rFonts w:ascii="Verdana" w:hAnsi="Verdana"/>
          <w:sz w:val="18"/>
          <w:szCs w:val="18"/>
        </w:rPr>
        <w:t xml:space="preserve"> του οικονομικού κύκλου (να δρουν δηλ. </w:t>
      </w:r>
      <w:r w:rsidRPr="00E75B0C">
        <w:rPr>
          <w:rFonts w:ascii="Verdana" w:hAnsi="Verdana"/>
          <w:sz w:val="18"/>
          <w:szCs w:val="18"/>
          <w:lang w:val="en-US"/>
        </w:rPr>
        <w:t>pro</w:t>
      </w:r>
      <w:r w:rsidRPr="00E75B0C">
        <w:rPr>
          <w:rFonts w:ascii="Verdana" w:hAnsi="Verdana"/>
          <w:sz w:val="18"/>
          <w:szCs w:val="18"/>
        </w:rPr>
        <w:t>-</w:t>
      </w:r>
      <w:r w:rsidRPr="00E75B0C">
        <w:rPr>
          <w:rFonts w:ascii="Verdana" w:hAnsi="Verdana"/>
          <w:sz w:val="18"/>
          <w:szCs w:val="18"/>
          <w:lang w:val="en-US"/>
        </w:rPr>
        <w:t>cyclically</w:t>
      </w:r>
      <w:r w:rsidRPr="00E75B0C">
        <w:rPr>
          <w:rFonts w:ascii="Verdana" w:hAnsi="Verdana"/>
          <w:sz w:val="18"/>
          <w:szCs w:val="18"/>
        </w:rPr>
        <w:t xml:space="preserve">) παρά να την απαλύνουν (να δρουν δηλ. </w:t>
      </w:r>
      <w:r w:rsidRPr="00E75B0C">
        <w:rPr>
          <w:rFonts w:ascii="Verdana" w:hAnsi="Verdana"/>
          <w:sz w:val="18"/>
          <w:szCs w:val="18"/>
          <w:lang w:val="en-US"/>
        </w:rPr>
        <w:t>counter</w:t>
      </w:r>
      <w:r w:rsidRPr="00E75B0C">
        <w:rPr>
          <w:rFonts w:ascii="Verdana" w:hAnsi="Verdana"/>
          <w:sz w:val="18"/>
          <w:szCs w:val="18"/>
        </w:rPr>
        <w:t>-</w:t>
      </w:r>
      <w:r w:rsidRPr="00E75B0C">
        <w:rPr>
          <w:rFonts w:ascii="Verdana" w:hAnsi="Verdana"/>
          <w:sz w:val="18"/>
          <w:szCs w:val="18"/>
          <w:lang w:val="en-US"/>
        </w:rPr>
        <w:t>cyclically</w:t>
      </w:r>
      <w:r w:rsidRPr="00E75B0C">
        <w:rPr>
          <w:rFonts w:ascii="Verdana" w:hAnsi="Verdana"/>
          <w:sz w:val="18"/>
          <w:szCs w:val="18"/>
        </w:rPr>
        <w:t>).</w:t>
      </w:r>
      <w:r w:rsidR="00DD5524" w:rsidRPr="00E75B0C">
        <w:rPr>
          <w:rFonts w:ascii="Verdana" w:hAnsi="Verdana"/>
          <w:sz w:val="18"/>
          <w:szCs w:val="18"/>
        </w:rPr>
        <w:t xml:space="preserve"> [Βλ. όμως </w:t>
      </w:r>
      <w:proofErr w:type="spellStart"/>
      <w:r w:rsidR="00DD5524" w:rsidRPr="00E75B0C">
        <w:rPr>
          <w:rFonts w:ascii="Verdana" w:hAnsi="Verdana"/>
          <w:sz w:val="18"/>
          <w:szCs w:val="18"/>
        </w:rPr>
        <w:t>Γράφ</w:t>
      </w:r>
      <w:proofErr w:type="spellEnd"/>
      <w:r w:rsidR="00DD5524" w:rsidRPr="00E75B0C">
        <w:rPr>
          <w:rFonts w:ascii="Verdana" w:hAnsi="Verdana"/>
          <w:sz w:val="18"/>
          <w:szCs w:val="18"/>
        </w:rPr>
        <w:t>. 2</w:t>
      </w:r>
      <w:r w:rsidR="00C03BDC" w:rsidRPr="00E75B0C">
        <w:rPr>
          <w:rFonts w:ascii="Verdana" w:hAnsi="Verdana"/>
          <w:sz w:val="18"/>
          <w:szCs w:val="18"/>
        </w:rPr>
        <w:t xml:space="preserve"> για τις ΗΠΑ</w:t>
      </w:r>
      <w:r w:rsidR="00DD5524" w:rsidRPr="00E75B0C">
        <w:rPr>
          <w:rFonts w:ascii="Verdana" w:hAnsi="Verdana"/>
          <w:sz w:val="18"/>
          <w:szCs w:val="18"/>
        </w:rPr>
        <w:t>, ανωτέρω.]</w:t>
      </w:r>
      <w:r w:rsidRPr="00E75B0C">
        <w:rPr>
          <w:rFonts w:ascii="Verdana" w:hAnsi="Verdana"/>
          <w:sz w:val="18"/>
          <w:szCs w:val="18"/>
        </w:rPr>
        <w:t xml:space="preserve"> </w:t>
      </w:r>
      <w:r w:rsidR="00AB3E8F" w:rsidRPr="00E75B0C">
        <w:rPr>
          <w:rFonts w:ascii="Verdana" w:hAnsi="Verdana"/>
          <w:sz w:val="18"/>
          <w:szCs w:val="18"/>
        </w:rPr>
        <w:t>Μπορεί αυτό, πρόσκαιρα</w:t>
      </w:r>
      <w:r w:rsidRPr="00E75B0C">
        <w:rPr>
          <w:rFonts w:ascii="Verdana" w:hAnsi="Verdana"/>
          <w:sz w:val="18"/>
          <w:szCs w:val="18"/>
        </w:rPr>
        <w:t xml:space="preserve">, να «σώζει» κάπως τα έσοδα αυτά, μα δεν είναι διόλου σίγουρο πως </w:t>
      </w:r>
      <w:r w:rsidR="00AB3E8F" w:rsidRPr="00E75B0C">
        <w:rPr>
          <w:rFonts w:ascii="Verdana" w:hAnsi="Verdana"/>
          <w:sz w:val="18"/>
          <w:szCs w:val="18"/>
        </w:rPr>
        <w:t>βοηθά</w:t>
      </w:r>
      <w:r w:rsidRPr="00E75B0C">
        <w:rPr>
          <w:rFonts w:ascii="Verdana" w:hAnsi="Verdana"/>
          <w:sz w:val="18"/>
          <w:szCs w:val="18"/>
        </w:rPr>
        <w:t xml:space="preserve"> στην συνολική μ</w:t>
      </w:r>
      <w:r w:rsidR="005E32C6">
        <w:rPr>
          <w:rFonts w:ascii="Verdana" w:hAnsi="Verdana"/>
          <w:sz w:val="18"/>
          <w:szCs w:val="18"/>
        </w:rPr>
        <w:t>α</w:t>
      </w:r>
      <w:r w:rsidRPr="00E75B0C">
        <w:rPr>
          <w:rFonts w:ascii="Verdana" w:hAnsi="Verdana"/>
          <w:sz w:val="18"/>
          <w:szCs w:val="18"/>
        </w:rPr>
        <w:t xml:space="preserve">κρο-οικονομική </w:t>
      </w:r>
      <w:r w:rsidR="00AB3E8F" w:rsidRPr="00E75B0C">
        <w:rPr>
          <w:rFonts w:ascii="Verdana" w:hAnsi="Verdana"/>
          <w:sz w:val="18"/>
          <w:szCs w:val="18"/>
        </w:rPr>
        <w:t>διαχείριση</w:t>
      </w:r>
      <w:r w:rsidRPr="00E75B0C">
        <w:rPr>
          <w:rFonts w:ascii="Verdana" w:hAnsi="Verdana"/>
          <w:sz w:val="18"/>
          <w:szCs w:val="18"/>
        </w:rPr>
        <w:t xml:space="preserve"> και </w:t>
      </w:r>
      <w:r w:rsidR="00AB3E8F" w:rsidRPr="00E75B0C">
        <w:rPr>
          <w:rFonts w:ascii="Verdana" w:hAnsi="Verdana"/>
          <w:sz w:val="18"/>
          <w:szCs w:val="18"/>
        </w:rPr>
        <w:t>αντιμετώπιση</w:t>
      </w:r>
      <w:r w:rsidRPr="00E75B0C">
        <w:rPr>
          <w:rFonts w:ascii="Verdana" w:hAnsi="Verdana"/>
          <w:sz w:val="18"/>
          <w:szCs w:val="18"/>
        </w:rPr>
        <w:t xml:space="preserve"> των συνεπειών ενός οικονομικού κύκλου. </w:t>
      </w:r>
    </w:p>
    <w:p w:rsidR="0034117E" w:rsidRPr="00E75B0C" w:rsidRDefault="0034117E" w:rsidP="0034117E">
      <w:pPr>
        <w:pStyle w:val="a3"/>
        <w:ind w:left="1800"/>
        <w:rPr>
          <w:rFonts w:ascii="Verdana" w:hAnsi="Verdana"/>
          <w:sz w:val="18"/>
          <w:szCs w:val="18"/>
        </w:rPr>
      </w:pPr>
    </w:p>
    <w:p w:rsidR="00777C2F" w:rsidRPr="00E75B0C" w:rsidRDefault="00AB3E8F" w:rsidP="00777C2F">
      <w:pPr>
        <w:pStyle w:val="a3"/>
        <w:numPr>
          <w:ilvl w:val="1"/>
          <w:numId w:val="3"/>
        </w:numPr>
        <w:rPr>
          <w:rFonts w:ascii="Verdana" w:hAnsi="Verdana"/>
          <w:sz w:val="18"/>
          <w:szCs w:val="18"/>
        </w:rPr>
      </w:pPr>
      <w:r w:rsidRPr="00E75B0C">
        <w:rPr>
          <w:rFonts w:ascii="Verdana" w:hAnsi="Verdana"/>
          <w:sz w:val="18"/>
          <w:szCs w:val="18"/>
        </w:rPr>
        <w:t>Έστω</w:t>
      </w:r>
      <w:r w:rsidR="00777C2F" w:rsidRPr="00E75B0C">
        <w:rPr>
          <w:rFonts w:ascii="Verdana" w:hAnsi="Verdana"/>
          <w:sz w:val="18"/>
          <w:szCs w:val="18"/>
        </w:rPr>
        <w:t xml:space="preserve"> και έτσι, τα έσοδα αυτά μόνο </w:t>
      </w:r>
      <w:r w:rsidRPr="00E75B0C">
        <w:rPr>
          <w:rFonts w:ascii="Verdana" w:hAnsi="Verdana"/>
          <w:sz w:val="18"/>
          <w:szCs w:val="18"/>
        </w:rPr>
        <w:t>πρόσκαιρα</w:t>
      </w:r>
      <w:r w:rsidR="00777C2F" w:rsidRPr="00E75B0C">
        <w:rPr>
          <w:rFonts w:ascii="Verdana" w:hAnsi="Verdana"/>
          <w:sz w:val="18"/>
          <w:szCs w:val="18"/>
        </w:rPr>
        <w:t xml:space="preserve"> «γλυτώνουν» απ’ την </w:t>
      </w:r>
      <w:r w:rsidRPr="00E75B0C">
        <w:rPr>
          <w:rFonts w:ascii="Verdana" w:hAnsi="Verdana"/>
          <w:sz w:val="18"/>
          <w:szCs w:val="18"/>
        </w:rPr>
        <w:t>επίδραση</w:t>
      </w:r>
      <w:r w:rsidR="00777C2F" w:rsidRPr="00E75B0C">
        <w:rPr>
          <w:rFonts w:ascii="Verdana" w:hAnsi="Verdana"/>
          <w:sz w:val="18"/>
          <w:szCs w:val="18"/>
        </w:rPr>
        <w:t xml:space="preserve"> του οικονομικού κύκλου. Αργά ή γρήγορα </w:t>
      </w:r>
      <w:r w:rsidR="00FE52BD" w:rsidRPr="00E75B0C">
        <w:rPr>
          <w:rFonts w:ascii="Verdana" w:hAnsi="Verdana"/>
          <w:sz w:val="18"/>
          <w:szCs w:val="18"/>
        </w:rPr>
        <w:t>η όποια φάση ενός οικονομικού κύκλου, ιδίως αν κρατήσει «πολύ», θα επηρεάσει τις τιμές των ακινήτων, με συνέπεια να επηρεάσει και τα φορολο</w:t>
      </w:r>
      <w:r w:rsidR="00A678F2" w:rsidRPr="00E75B0C">
        <w:rPr>
          <w:rFonts w:ascii="Verdana" w:hAnsi="Verdana"/>
          <w:sz w:val="18"/>
          <w:szCs w:val="18"/>
        </w:rPr>
        <w:t>γικά έσοδα</w:t>
      </w:r>
      <w:r w:rsidR="00FE52BD" w:rsidRPr="00E75B0C">
        <w:rPr>
          <w:rFonts w:ascii="Verdana" w:hAnsi="Verdana"/>
          <w:sz w:val="18"/>
          <w:szCs w:val="18"/>
        </w:rPr>
        <w:t>. (Εκτός αν</w:t>
      </w:r>
      <w:r w:rsidR="00A678F2" w:rsidRPr="00E75B0C">
        <w:rPr>
          <w:rFonts w:ascii="Verdana" w:hAnsi="Verdana"/>
          <w:sz w:val="18"/>
          <w:szCs w:val="18"/>
        </w:rPr>
        <w:t xml:space="preserve">, ιδίως σε </w:t>
      </w:r>
      <w:r w:rsidRPr="00E75B0C">
        <w:rPr>
          <w:rFonts w:ascii="Verdana" w:hAnsi="Verdana"/>
          <w:sz w:val="18"/>
          <w:szCs w:val="18"/>
        </w:rPr>
        <w:t>φάση</w:t>
      </w:r>
      <w:r w:rsidR="00A678F2" w:rsidRPr="00E75B0C">
        <w:rPr>
          <w:rFonts w:ascii="Verdana" w:hAnsi="Verdana"/>
          <w:sz w:val="18"/>
          <w:szCs w:val="18"/>
        </w:rPr>
        <w:t xml:space="preserve"> </w:t>
      </w:r>
      <w:r w:rsidR="005352C1" w:rsidRPr="00E75B0C">
        <w:rPr>
          <w:rFonts w:ascii="Verdana" w:hAnsi="Verdana"/>
          <w:sz w:val="18"/>
          <w:szCs w:val="18"/>
        </w:rPr>
        <w:t>ύφεσης και μείωσης</w:t>
      </w:r>
      <w:r w:rsidR="00A678F2" w:rsidRPr="00E75B0C">
        <w:rPr>
          <w:rFonts w:ascii="Verdana" w:hAnsi="Verdana"/>
          <w:sz w:val="18"/>
          <w:szCs w:val="18"/>
        </w:rPr>
        <w:t xml:space="preserve"> των τιμών,</w:t>
      </w:r>
      <w:r w:rsidR="00FE52BD" w:rsidRPr="00E75B0C">
        <w:rPr>
          <w:rFonts w:ascii="Verdana" w:hAnsi="Verdana"/>
          <w:sz w:val="18"/>
          <w:szCs w:val="18"/>
        </w:rPr>
        <w:t xml:space="preserve"> η φορολογική αρχή – π.χ., ο δήμος – αυξήσει τους συντελεστές όταν αρχίσουν να πέφτουν </w:t>
      </w:r>
      <w:r w:rsidR="005352C1" w:rsidRPr="00E75B0C">
        <w:rPr>
          <w:rFonts w:ascii="Verdana" w:hAnsi="Verdana"/>
          <w:sz w:val="18"/>
          <w:szCs w:val="18"/>
        </w:rPr>
        <w:t>οι</w:t>
      </w:r>
      <w:r w:rsidR="00FE52BD" w:rsidRPr="00E75B0C">
        <w:rPr>
          <w:rFonts w:ascii="Verdana" w:hAnsi="Verdana"/>
          <w:sz w:val="18"/>
          <w:szCs w:val="18"/>
        </w:rPr>
        <w:t xml:space="preserve"> τιμές των ακινή</w:t>
      </w:r>
      <w:r w:rsidR="005352C1" w:rsidRPr="00E75B0C">
        <w:rPr>
          <w:rFonts w:ascii="Verdana" w:hAnsi="Verdana"/>
          <w:sz w:val="18"/>
          <w:szCs w:val="18"/>
        </w:rPr>
        <w:t>των ή, απλά, αδιαφορήσει για τη</w:t>
      </w:r>
      <w:r w:rsidR="00FE52BD" w:rsidRPr="00E75B0C">
        <w:rPr>
          <w:rFonts w:ascii="Verdana" w:hAnsi="Verdana"/>
          <w:sz w:val="18"/>
          <w:szCs w:val="18"/>
        </w:rPr>
        <w:t xml:space="preserve"> </w:t>
      </w:r>
      <w:r w:rsidRPr="00E75B0C">
        <w:rPr>
          <w:rFonts w:ascii="Verdana" w:hAnsi="Verdana"/>
          <w:sz w:val="18"/>
          <w:szCs w:val="18"/>
        </w:rPr>
        <w:t>μείωση</w:t>
      </w:r>
      <w:r w:rsidR="00FE52BD" w:rsidRPr="00E75B0C">
        <w:rPr>
          <w:rFonts w:ascii="Verdana" w:hAnsi="Verdana"/>
          <w:sz w:val="18"/>
          <w:szCs w:val="18"/>
        </w:rPr>
        <w:t xml:space="preserve"> των τιμών</w:t>
      </w:r>
      <w:r w:rsidR="00A678F2" w:rsidRPr="00E75B0C">
        <w:rPr>
          <w:rFonts w:ascii="Verdana" w:hAnsi="Verdana"/>
          <w:sz w:val="18"/>
          <w:szCs w:val="18"/>
        </w:rPr>
        <w:t xml:space="preserve"> και συνεχίσει </w:t>
      </w:r>
      <w:r w:rsidR="005352C1" w:rsidRPr="00E75B0C">
        <w:rPr>
          <w:rFonts w:ascii="Verdana" w:hAnsi="Verdana"/>
          <w:sz w:val="18"/>
          <w:szCs w:val="18"/>
        </w:rPr>
        <w:t>να φορολογεί βάσει των προ ύφεσης</w:t>
      </w:r>
      <w:r w:rsidR="00A678F2" w:rsidRPr="00E75B0C">
        <w:rPr>
          <w:rFonts w:ascii="Verdana" w:hAnsi="Verdana"/>
          <w:sz w:val="18"/>
          <w:szCs w:val="18"/>
        </w:rPr>
        <w:t xml:space="preserve"> τιμών</w:t>
      </w:r>
      <w:r w:rsidR="00FE52BD" w:rsidRPr="00E75B0C">
        <w:rPr>
          <w:rFonts w:ascii="Verdana" w:hAnsi="Verdana"/>
          <w:sz w:val="18"/>
          <w:szCs w:val="18"/>
        </w:rPr>
        <w:t xml:space="preserve">. Μόνο που τότε (α) θα τεθεί </w:t>
      </w:r>
      <w:r w:rsidRPr="00E75B0C">
        <w:rPr>
          <w:rFonts w:ascii="Verdana" w:hAnsi="Verdana"/>
          <w:sz w:val="18"/>
          <w:szCs w:val="18"/>
        </w:rPr>
        <w:t>εντονότερο</w:t>
      </w:r>
      <w:r w:rsidR="00FE52BD" w:rsidRPr="00E75B0C">
        <w:rPr>
          <w:rFonts w:ascii="Verdana" w:hAnsi="Verdana"/>
          <w:sz w:val="18"/>
          <w:szCs w:val="18"/>
        </w:rPr>
        <w:t xml:space="preserve"> θέμα φοροδοτικής ικανότητ</w:t>
      </w:r>
      <w:r w:rsidR="005352C1" w:rsidRPr="00E75B0C">
        <w:rPr>
          <w:rFonts w:ascii="Verdana" w:hAnsi="Verdana"/>
          <w:sz w:val="18"/>
          <w:szCs w:val="18"/>
        </w:rPr>
        <w:t>α</w:t>
      </w:r>
      <w:r w:rsidR="00FE52BD" w:rsidRPr="00E75B0C">
        <w:rPr>
          <w:rFonts w:ascii="Verdana" w:hAnsi="Verdana"/>
          <w:sz w:val="18"/>
          <w:szCs w:val="18"/>
        </w:rPr>
        <w:t xml:space="preserve">ς εκ μέρους ιδιοκτητών, (β) θα επηρεασθεί </w:t>
      </w:r>
      <w:r w:rsidR="005352C1" w:rsidRPr="00E75B0C">
        <w:rPr>
          <w:rFonts w:ascii="Verdana" w:hAnsi="Verdana"/>
          <w:sz w:val="18"/>
          <w:szCs w:val="18"/>
        </w:rPr>
        <w:t>ακόμα</w:t>
      </w:r>
      <w:r w:rsidR="00FE52BD" w:rsidRPr="00E75B0C">
        <w:rPr>
          <w:rFonts w:ascii="Verdana" w:hAnsi="Verdana"/>
          <w:sz w:val="18"/>
          <w:szCs w:val="18"/>
        </w:rPr>
        <w:t xml:space="preserve"> δυσμενέστερα η κτηματαγορά (πράγμα </w:t>
      </w:r>
      <w:r w:rsidR="00A678F2" w:rsidRPr="00E75B0C">
        <w:rPr>
          <w:rFonts w:ascii="Verdana" w:hAnsi="Verdana"/>
          <w:sz w:val="18"/>
          <w:szCs w:val="18"/>
        </w:rPr>
        <w:t xml:space="preserve">ιδιαίτερα </w:t>
      </w:r>
      <w:r w:rsidR="00FE52BD" w:rsidRPr="00E75B0C">
        <w:rPr>
          <w:rFonts w:ascii="Verdana" w:hAnsi="Verdana"/>
          <w:sz w:val="18"/>
          <w:szCs w:val="18"/>
        </w:rPr>
        <w:t xml:space="preserve">κακό σε </w:t>
      </w:r>
      <w:r w:rsidRPr="00E75B0C">
        <w:rPr>
          <w:rFonts w:ascii="Verdana" w:hAnsi="Verdana"/>
          <w:sz w:val="18"/>
          <w:szCs w:val="18"/>
        </w:rPr>
        <w:t>φάση</w:t>
      </w:r>
      <w:r w:rsidR="00FE52BD" w:rsidRPr="00E75B0C">
        <w:rPr>
          <w:rFonts w:ascii="Verdana" w:hAnsi="Verdana"/>
          <w:sz w:val="18"/>
          <w:szCs w:val="18"/>
        </w:rPr>
        <w:t xml:space="preserve"> </w:t>
      </w:r>
      <w:r w:rsidR="005352C1" w:rsidRPr="00E75B0C">
        <w:rPr>
          <w:rFonts w:ascii="Verdana" w:hAnsi="Verdana"/>
          <w:sz w:val="18"/>
          <w:szCs w:val="18"/>
        </w:rPr>
        <w:t>ύφεσης</w:t>
      </w:r>
      <w:r w:rsidR="00FE52BD" w:rsidRPr="00E75B0C">
        <w:rPr>
          <w:rFonts w:ascii="Verdana" w:hAnsi="Verdana"/>
          <w:sz w:val="18"/>
          <w:szCs w:val="18"/>
        </w:rPr>
        <w:t xml:space="preserve">), (γ) οι φόροι αυτοί θα γίνουν ακόμη περισσότερο </w:t>
      </w:r>
      <w:r w:rsidR="00FE52BD" w:rsidRPr="00E75B0C">
        <w:rPr>
          <w:rFonts w:ascii="Verdana" w:hAnsi="Verdana"/>
          <w:sz w:val="18"/>
          <w:szCs w:val="18"/>
          <w:lang w:val="en-US"/>
        </w:rPr>
        <w:t>pro</w:t>
      </w:r>
      <w:r w:rsidR="00FE52BD" w:rsidRPr="00E75B0C">
        <w:rPr>
          <w:rFonts w:ascii="Verdana" w:hAnsi="Verdana"/>
          <w:sz w:val="18"/>
          <w:szCs w:val="18"/>
        </w:rPr>
        <w:t>-</w:t>
      </w:r>
      <w:r w:rsidR="00FE52BD" w:rsidRPr="00E75B0C">
        <w:rPr>
          <w:rFonts w:ascii="Verdana" w:hAnsi="Verdana"/>
          <w:sz w:val="18"/>
          <w:szCs w:val="18"/>
          <w:lang w:val="en-US"/>
        </w:rPr>
        <w:t>cyclical</w:t>
      </w:r>
      <w:r w:rsidR="00FE52BD" w:rsidRPr="00E75B0C">
        <w:rPr>
          <w:rFonts w:ascii="Verdana" w:hAnsi="Verdana"/>
          <w:sz w:val="18"/>
          <w:szCs w:val="18"/>
        </w:rPr>
        <w:t>.)</w:t>
      </w:r>
    </w:p>
    <w:p w:rsidR="0034117E" w:rsidRPr="00E75B0C" w:rsidRDefault="0034117E" w:rsidP="0034117E">
      <w:pPr>
        <w:pStyle w:val="a3"/>
        <w:rPr>
          <w:rFonts w:ascii="Verdana" w:hAnsi="Verdana"/>
          <w:sz w:val="18"/>
          <w:szCs w:val="18"/>
        </w:rPr>
      </w:pPr>
    </w:p>
    <w:p w:rsidR="00FE52BD" w:rsidRPr="00E75B0C" w:rsidRDefault="005352C1" w:rsidP="00777C2F">
      <w:pPr>
        <w:pStyle w:val="a3"/>
        <w:numPr>
          <w:ilvl w:val="1"/>
          <w:numId w:val="3"/>
        </w:numPr>
        <w:rPr>
          <w:rFonts w:ascii="Verdana" w:hAnsi="Verdana"/>
          <w:sz w:val="18"/>
          <w:szCs w:val="18"/>
        </w:rPr>
      </w:pPr>
      <w:r w:rsidRPr="00E75B0C">
        <w:rPr>
          <w:rFonts w:ascii="Verdana" w:hAnsi="Verdana"/>
          <w:sz w:val="18"/>
          <w:szCs w:val="18"/>
        </w:rPr>
        <w:t xml:space="preserve">Οι </w:t>
      </w:r>
      <w:r w:rsidR="00FE52BD" w:rsidRPr="00E75B0C">
        <w:rPr>
          <w:rFonts w:ascii="Verdana" w:hAnsi="Verdana"/>
          <w:sz w:val="18"/>
          <w:szCs w:val="18"/>
        </w:rPr>
        <w:t>μικρότερες διακυμάνσεις, που, υποτίθεται, χαρακτηρίζουν τα έσοδα από φόρους κατοχής σημαίνου</w:t>
      </w:r>
      <w:r w:rsidR="00A678F2" w:rsidRPr="00E75B0C">
        <w:rPr>
          <w:rFonts w:ascii="Verdana" w:hAnsi="Verdana"/>
          <w:sz w:val="18"/>
          <w:szCs w:val="18"/>
        </w:rPr>
        <w:t>ν</w:t>
      </w:r>
      <w:r w:rsidR="00FE52BD" w:rsidRPr="00E75B0C">
        <w:rPr>
          <w:rFonts w:ascii="Verdana" w:hAnsi="Verdana"/>
          <w:sz w:val="18"/>
          <w:szCs w:val="18"/>
        </w:rPr>
        <w:t xml:space="preserve"> επίσης πως αυτοί οι φόροι προσφέρονται </w:t>
      </w:r>
      <w:r w:rsidR="00AB3E8F" w:rsidRPr="00E75B0C">
        <w:rPr>
          <w:rFonts w:ascii="Verdana" w:hAnsi="Verdana"/>
          <w:sz w:val="18"/>
          <w:szCs w:val="18"/>
        </w:rPr>
        <w:t>λιγότερο</w:t>
      </w:r>
      <w:r w:rsidR="00FE52BD" w:rsidRPr="00E75B0C">
        <w:rPr>
          <w:rFonts w:ascii="Verdana" w:hAnsi="Verdana"/>
          <w:sz w:val="18"/>
          <w:szCs w:val="18"/>
        </w:rPr>
        <w:t xml:space="preserve"> για </w:t>
      </w:r>
      <w:r w:rsidR="00AB3E8F" w:rsidRPr="00E75B0C">
        <w:rPr>
          <w:rFonts w:ascii="Verdana" w:hAnsi="Verdana"/>
          <w:sz w:val="18"/>
          <w:szCs w:val="18"/>
        </w:rPr>
        <w:t>χρήση</w:t>
      </w:r>
      <w:r w:rsidR="00FE52BD" w:rsidRPr="00E75B0C">
        <w:rPr>
          <w:rFonts w:ascii="Verdana" w:hAnsi="Verdana"/>
          <w:sz w:val="18"/>
          <w:szCs w:val="18"/>
        </w:rPr>
        <w:t xml:space="preserve"> ως «αυτόματοι σταθεροποιητές» από</w:t>
      </w:r>
      <w:r w:rsidR="00A678F2" w:rsidRPr="00E75B0C">
        <w:rPr>
          <w:rFonts w:ascii="Verdana" w:hAnsi="Verdana"/>
          <w:sz w:val="18"/>
          <w:szCs w:val="18"/>
        </w:rPr>
        <w:t xml:space="preserve"> </w:t>
      </w:r>
      <w:r w:rsidR="00E50744" w:rsidRPr="00E75B0C">
        <w:rPr>
          <w:rFonts w:ascii="Verdana" w:hAnsi="Verdana"/>
          <w:sz w:val="18"/>
          <w:szCs w:val="18"/>
        </w:rPr>
        <w:t>ότι</w:t>
      </w:r>
      <w:r w:rsidR="00A678F2" w:rsidRPr="00E75B0C">
        <w:rPr>
          <w:rFonts w:ascii="Verdana" w:hAnsi="Verdana"/>
          <w:sz w:val="18"/>
          <w:szCs w:val="18"/>
        </w:rPr>
        <w:t xml:space="preserve"> άλλα είδη φόρων ακινήτων (</w:t>
      </w:r>
      <w:proofErr w:type="spellStart"/>
      <w:r w:rsidR="00A678F2" w:rsidRPr="00E75B0C">
        <w:rPr>
          <w:rFonts w:ascii="Verdana" w:hAnsi="Verdana"/>
          <w:sz w:val="18"/>
          <w:szCs w:val="18"/>
          <w:lang w:val="en-US"/>
        </w:rPr>
        <w:t>Norregaard</w:t>
      </w:r>
      <w:proofErr w:type="spellEnd"/>
      <w:r w:rsidR="00A678F2" w:rsidRPr="00E75B0C">
        <w:rPr>
          <w:rFonts w:ascii="Verdana" w:hAnsi="Verdana"/>
          <w:sz w:val="18"/>
          <w:szCs w:val="18"/>
        </w:rPr>
        <w:t xml:space="preserve">, 2013: </w:t>
      </w:r>
      <w:r w:rsidR="00A678F2" w:rsidRPr="00E75B0C">
        <w:rPr>
          <w:rFonts w:ascii="Verdana" w:hAnsi="Verdana"/>
          <w:sz w:val="18"/>
          <w:szCs w:val="18"/>
          <w:lang w:val="en-US"/>
        </w:rPr>
        <w:t>p</w:t>
      </w:r>
      <w:r w:rsidR="00A678F2" w:rsidRPr="00E75B0C">
        <w:rPr>
          <w:rFonts w:ascii="Verdana" w:hAnsi="Verdana"/>
          <w:sz w:val="18"/>
          <w:szCs w:val="18"/>
        </w:rPr>
        <w:t>. 21).</w:t>
      </w:r>
    </w:p>
    <w:p w:rsidR="002C3713" w:rsidRPr="00E75B0C" w:rsidRDefault="002C3713" w:rsidP="001A02C2">
      <w:pPr>
        <w:rPr>
          <w:rFonts w:ascii="Verdana" w:hAnsi="Verdana"/>
          <w:sz w:val="18"/>
          <w:szCs w:val="18"/>
        </w:rPr>
      </w:pPr>
    </w:p>
    <w:p w:rsidR="006776A5" w:rsidRPr="00E75B0C" w:rsidRDefault="00DA62D8" w:rsidP="00596BA9">
      <w:pPr>
        <w:pStyle w:val="a3"/>
        <w:numPr>
          <w:ilvl w:val="0"/>
          <w:numId w:val="2"/>
        </w:numPr>
        <w:rPr>
          <w:rFonts w:ascii="Verdana" w:hAnsi="Verdana"/>
          <w:sz w:val="18"/>
          <w:szCs w:val="18"/>
        </w:rPr>
      </w:pPr>
      <w:r w:rsidRPr="00E75B0C">
        <w:rPr>
          <w:rFonts w:ascii="Verdana" w:hAnsi="Verdana"/>
          <w:sz w:val="18"/>
          <w:szCs w:val="18"/>
        </w:rPr>
        <w:t xml:space="preserve"> </w:t>
      </w:r>
      <w:r w:rsidR="00596BA9" w:rsidRPr="00E75B0C">
        <w:rPr>
          <w:rFonts w:ascii="Verdana" w:hAnsi="Verdana"/>
          <w:sz w:val="18"/>
          <w:szCs w:val="18"/>
        </w:rPr>
        <w:t>«</w:t>
      </w:r>
      <w:r w:rsidR="00C106AD" w:rsidRPr="00E75B0C">
        <w:rPr>
          <w:rFonts w:ascii="Verdana" w:hAnsi="Verdana"/>
          <w:sz w:val="18"/>
          <w:szCs w:val="18"/>
        </w:rPr>
        <w:t xml:space="preserve">Οι φόροι </w:t>
      </w:r>
      <w:r w:rsidR="00B672FE" w:rsidRPr="00E75B0C">
        <w:rPr>
          <w:rFonts w:ascii="Verdana" w:hAnsi="Verdana"/>
          <w:sz w:val="18"/>
          <w:szCs w:val="18"/>
        </w:rPr>
        <w:t>μεταβίβασης</w:t>
      </w:r>
      <w:r w:rsidR="00C106AD" w:rsidRPr="00E75B0C">
        <w:rPr>
          <w:rFonts w:ascii="Verdana" w:hAnsi="Verdana"/>
          <w:sz w:val="18"/>
          <w:szCs w:val="18"/>
        </w:rPr>
        <w:t>, ειδικότερα, έχουν και ένα άλλο πλεονέ</w:t>
      </w:r>
      <w:r w:rsidR="00AB3E8F" w:rsidRPr="00E75B0C">
        <w:rPr>
          <w:rFonts w:ascii="Verdana" w:hAnsi="Verdana"/>
          <w:sz w:val="18"/>
          <w:szCs w:val="18"/>
        </w:rPr>
        <w:t xml:space="preserve">κτημα, πέραν του ότι δι’ αυτών </w:t>
      </w:r>
      <w:r w:rsidR="00C106AD" w:rsidRPr="00E75B0C">
        <w:rPr>
          <w:rFonts w:ascii="Verdana" w:hAnsi="Verdana"/>
          <w:sz w:val="18"/>
          <w:szCs w:val="18"/>
        </w:rPr>
        <w:t xml:space="preserve">μπορεί ν’ </w:t>
      </w:r>
      <w:r w:rsidR="00AB3E8F" w:rsidRPr="00E75B0C">
        <w:rPr>
          <w:rFonts w:ascii="Verdana" w:hAnsi="Verdana"/>
          <w:sz w:val="18"/>
          <w:szCs w:val="18"/>
        </w:rPr>
        <w:t>αποθαρρύνονται</w:t>
      </w:r>
      <w:r w:rsidR="00C106AD" w:rsidRPr="00E75B0C">
        <w:rPr>
          <w:rFonts w:ascii="Verdana" w:hAnsi="Verdana"/>
          <w:sz w:val="18"/>
          <w:szCs w:val="18"/>
        </w:rPr>
        <w:t xml:space="preserve"> «υπερβολικές» επενδύσεις σε ακίνητα: Μ</w:t>
      </w:r>
      <w:r w:rsidR="00AB3E8F" w:rsidRPr="00E75B0C">
        <w:rPr>
          <w:rFonts w:ascii="Verdana" w:hAnsi="Verdana"/>
          <w:sz w:val="18"/>
          <w:szCs w:val="18"/>
        </w:rPr>
        <w:t xml:space="preserve">ε τον κατάλληλο χειρισμό αυτών </w:t>
      </w:r>
      <w:r w:rsidR="00C106AD" w:rsidRPr="00E75B0C">
        <w:rPr>
          <w:rFonts w:ascii="Verdana" w:hAnsi="Verdana"/>
          <w:sz w:val="18"/>
          <w:szCs w:val="18"/>
        </w:rPr>
        <w:t>μπορούν (τόσο ως φόρος επί της τιμής ή αξίας του ακινήτου, όσο ως φόρος υπεραξίας) να εμποδίζουν τον σχηματισμό «φούσκας» στην αγορά ακινήτων</w:t>
      </w:r>
      <w:r w:rsidR="00AB3E8F" w:rsidRPr="00E75B0C">
        <w:rPr>
          <w:rFonts w:ascii="Verdana" w:hAnsi="Verdana"/>
          <w:sz w:val="18"/>
          <w:szCs w:val="18"/>
        </w:rPr>
        <w:t xml:space="preserve">, (ενώ οι φόροι κατοχής </w:t>
      </w:r>
      <w:r w:rsidR="007835C5" w:rsidRPr="00E75B0C">
        <w:rPr>
          <w:rFonts w:ascii="Verdana" w:hAnsi="Verdana"/>
          <w:sz w:val="18"/>
          <w:szCs w:val="18"/>
        </w:rPr>
        <w:t xml:space="preserve">μπορούν να έχουν </w:t>
      </w:r>
      <w:r w:rsidR="00AB3E8F" w:rsidRPr="00E75B0C">
        <w:rPr>
          <w:rFonts w:ascii="Verdana" w:hAnsi="Verdana"/>
          <w:sz w:val="18"/>
          <w:szCs w:val="18"/>
        </w:rPr>
        <w:t>παρόμοια συνέπεια, αλλά</w:t>
      </w:r>
      <w:r w:rsidR="007835C5" w:rsidRPr="00E75B0C">
        <w:rPr>
          <w:rFonts w:ascii="Verdana" w:hAnsi="Verdana"/>
          <w:sz w:val="18"/>
          <w:szCs w:val="18"/>
        </w:rPr>
        <w:t xml:space="preserve"> εμμέσως, όχι ευθέως)</w:t>
      </w:r>
      <w:r w:rsidRPr="00E75B0C">
        <w:rPr>
          <w:rFonts w:ascii="Verdana" w:hAnsi="Verdana"/>
          <w:sz w:val="18"/>
          <w:szCs w:val="18"/>
        </w:rPr>
        <w:t>.</w:t>
      </w:r>
    </w:p>
    <w:p w:rsidR="00DA62D8" w:rsidRPr="00E75B0C" w:rsidRDefault="00DA62D8" w:rsidP="00DA62D8">
      <w:pPr>
        <w:ind w:left="720"/>
        <w:rPr>
          <w:rFonts w:ascii="Verdana" w:hAnsi="Verdana"/>
          <w:sz w:val="18"/>
          <w:szCs w:val="18"/>
        </w:rPr>
      </w:pPr>
      <w:r w:rsidRPr="00E75B0C">
        <w:rPr>
          <w:rFonts w:ascii="Verdana" w:hAnsi="Verdana"/>
          <w:sz w:val="18"/>
          <w:szCs w:val="18"/>
        </w:rPr>
        <w:t>Κατ’ αρχήν είναι πολύ δύσκολο φόροι ακινήτων να λειτουργήσουν ως «αυτόματοι σταθεροποιητές», αν και κάποιοι (π.χ., φόρος υπεραξίας) εί</w:t>
      </w:r>
      <w:r w:rsidR="007A6FCE" w:rsidRPr="00E75B0C">
        <w:rPr>
          <w:rFonts w:ascii="Verdana" w:hAnsi="Verdana"/>
          <w:sz w:val="18"/>
          <w:szCs w:val="18"/>
        </w:rPr>
        <w:t>ναι δυνατόν να παίξουν αυτόν το</w:t>
      </w:r>
      <w:r w:rsidRPr="00E75B0C">
        <w:rPr>
          <w:rFonts w:ascii="Verdana" w:hAnsi="Verdana"/>
          <w:sz w:val="18"/>
          <w:szCs w:val="18"/>
        </w:rPr>
        <w:t xml:space="preserve"> ρόλο καλύτερα από άλλους (π.χ., φόροι κατοχής). Συνεπώς για να αποθαρρύνουν κάποιοι φόροι ακινήτων το σχηματισμό «φούσκας» στην κτηματαγορά θα πρέπει αυτοί οι φόροι να αλλάζουν την κατάλληλη στιγμή. Ποιά η στιγμή αυτή είναι, </w:t>
      </w:r>
      <w:r w:rsidR="007A6FCE" w:rsidRPr="00E75B0C">
        <w:rPr>
          <w:rFonts w:ascii="Verdana" w:hAnsi="Verdana"/>
          <w:sz w:val="18"/>
          <w:szCs w:val="18"/>
        </w:rPr>
        <w:t xml:space="preserve">κανείς δεν μπορεί να </w:t>
      </w:r>
      <w:r w:rsidRPr="00E75B0C">
        <w:rPr>
          <w:rFonts w:ascii="Verdana" w:hAnsi="Verdana"/>
          <w:sz w:val="18"/>
          <w:szCs w:val="18"/>
        </w:rPr>
        <w:t xml:space="preserve">προβλέψει. Τέτοιες ενέργειες είναι </w:t>
      </w:r>
      <w:r w:rsidR="00AB3E8F" w:rsidRPr="00E75B0C">
        <w:rPr>
          <w:rFonts w:ascii="Verdana" w:hAnsi="Verdana"/>
          <w:sz w:val="18"/>
          <w:szCs w:val="18"/>
        </w:rPr>
        <w:t>πιο</w:t>
      </w:r>
      <w:r w:rsidR="007A6FCE" w:rsidRPr="00E75B0C">
        <w:rPr>
          <w:rFonts w:ascii="Verdana" w:hAnsi="Verdana"/>
          <w:sz w:val="18"/>
          <w:szCs w:val="18"/>
        </w:rPr>
        <w:t xml:space="preserve"> πιθανό να προκαλέσουν το</w:t>
      </w:r>
      <w:r w:rsidRPr="00E75B0C">
        <w:rPr>
          <w:rFonts w:ascii="Verdana" w:hAnsi="Verdana"/>
          <w:sz w:val="18"/>
          <w:szCs w:val="18"/>
        </w:rPr>
        <w:t xml:space="preserve"> σχηματισμό φούσκας ή να επιταχύνουν την </w:t>
      </w:r>
      <w:r w:rsidR="00311D63" w:rsidRPr="00E75B0C">
        <w:rPr>
          <w:rFonts w:ascii="Verdana" w:hAnsi="Verdana"/>
          <w:sz w:val="18"/>
          <w:szCs w:val="18"/>
        </w:rPr>
        <w:t xml:space="preserve">ανεξέλεγκτη </w:t>
      </w:r>
      <w:r w:rsidR="00AB3E8F" w:rsidRPr="00E75B0C">
        <w:rPr>
          <w:rFonts w:ascii="Verdana" w:hAnsi="Verdana"/>
          <w:sz w:val="18"/>
          <w:szCs w:val="18"/>
        </w:rPr>
        <w:t>διάρρηξη</w:t>
      </w:r>
      <w:r w:rsidRPr="00E75B0C">
        <w:rPr>
          <w:rFonts w:ascii="Verdana" w:hAnsi="Verdana"/>
          <w:sz w:val="18"/>
          <w:szCs w:val="18"/>
        </w:rPr>
        <w:t xml:space="preserve"> της, απ’ </w:t>
      </w:r>
      <w:r w:rsidR="00311D63" w:rsidRPr="00E75B0C">
        <w:rPr>
          <w:rFonts w:ascii="Verdana" w:hAnsi="Verdana"/>
          <w:sz w:val="18"/>
          <w:szCs w:val="18"/>
        </w:rPr>
        <w:t xml:space="preserve">το </w:t>
      </w:r>
      <w:r w:rsidRPr="00E75B0C">
        <w:rPr>
          <w:rFonts w:ascii="Verdana" w:hAnsi="Verdana"/>
          <w:sz w:val="18"/>
          <w:szCs w:val="18"/>
        </w:rPr>
        <w:t>να</w:t>
      </w:r>
      <w:r w:rsidR="00311D63" w:rsidRPr="00E75B0C">
        <w:rPr>
          <w:rFonts w:ascii="Verdana" w:hAnsi="Verdana"/>
          <w:sz w:val="18"/>
          <w:szCs w:val="18"/>
        </w:rPr>
        <w:t xml:space="preserve"> τα αποτρέψουν. </w:t>
      </w:r>
    </w:p>
    <w:p w:rsidR="00311D63" w:rsidRPr="00E75B0C" w:rsidRDefault="00311D63" w:rsidP="00DA62D8">
      <w:pPr>
        <w:ind w:left="720"/>
        <w:rPr>
          <w:rFonts w:ascii="Verdana" w:hAnsi="Verdana"/>
          <w:sz w:val="18"/>
          <w:szCs w:val="18"/>
        </w:rPr>
      </w:pPr>
      <w:r w:rsidRPr="00E75B0C">
        <w:rPr>
          <w:rFonts w:ascii="Verdana" w:hAnsi="Verdana"/>
          <w:sz w:val="18"/>
          <w:szCs w:val="18"/>
        </w:rPr>
        <w:t>Στην πραγματικότητα η αποτροπή σχηματισμού φούσκας στην κτημ</w:t>
      </w:r>
      <w:r w:rsidR="007A6FCE" w:rsidRPr="00E75B0C">
        <w:rPr>
          <w:rFonts w:ascii="Verdana" w:hAnsi="Verdana"/>
          <w:sz w:val="18"/>
          <w:szCs w:val="18"/>
        </w:rPr>
        <w:t>αταγορά (ή οπουδήποτε αλλού) δε</w:t>
      </w:r>
      <w:r w:rsidRPr="00E75B0C">
        <w:rPr>
          <w:rFonts w:ascii="Verdana" w:hAnsi="Verdana"/>
          <w:sz w:val="18"/>
          <w:szCs w:val="18"/>
        </w:rPr>
        <w:t xml:space="preserve"> γίνεται με φόρους, μα, δεδομένου ότι πηγή κάθε φούσκας είναι ο υπερβολικός ή ανερμάτισ</w:t>
      </w:r>
      <w:r w:rsidR="00AB3E8F" w:rsidRPr="00E75B0C">
        <w:rPr>
          <w:rFonts w:ascii="Verdana" w:hAnsi="Verdana"/>
          <w:sz w:val="18"/>
          <w:szCs w:val="18"/>
        </w:rPr>
        <w:t xml:space="preserve">τος δανεισμός, η αποτροπή αυτή </w:t>
      </w:r>
      <w:r w:rsidRPr="00E75B0C">
        <w:rPr>
          <w:rFonts w:ascii="Verdana" w:hAnsi="Verdana"/>
          <w:sz w:val="18"/>
          <w:szCs w:val="18"/>
        </w:rPr>
        <w:t>μπορεί και πρέπει να γίνεται με</w:t>
      </w:r>
      <w:r w:rsidR="007A6FCE" w:rsidRPr="00E75B0C">
        <w:rPr>
          <w:rFonts w:ascii="Verdana" w:hAnsi="Verdana"/>
          <w:sz w:val="18"/>
          <w:szCs w:val="18"/>
        </w:rPr>
        <w:t xml:space="preserve"> παρεμβάσεις στο σύστημα και τη</w:t>
      </w:r>
      <w:r w:rsidRPr="00E75B0C">
        <w:rPr>
          <w:rFonts w:ascii="Verdana" w:hAnsi="Verdana"/>
          <w:sz w:val="18"/>
          <w:szCs w:val="18"/>
        </w:rPr>
        <w:t xml:space="preserve"> διαδικασία παροχής πιστώσεων (π.χ., στο τραπεζικό σύσ</w:t>
      </w:r>
      <w:r w:rsidR="003C184A" w:rsidRPr="00E75B0C">
        <w:rPr>
          <w:rFonts w:ascii="Verdana" w:hAnsi="Verdana"/>
          <w:sz w:val="18"/>
          <w:szCs w:val="18"/>
        </w:rPr>
        <w:t>τημα)</w:t>
      </w:r>
      <w:r w:rsidRPr="00E75B0C">
        <w:rPr>
          <w:rFonts w:ascii="Verdana" w:hAnsi="Verdana"/>
          <w:sz w:val="18"/>
          <w:szCs w:val="18"/>
        </w:rPr>
        <w:t>.</w:t>
      </w:r>
    </w:p>
    <w:p w:rsidR="002C3713" w:rsidRPr="00E75B0C" w:rsidRDefault="002C3713" w:rsidP="001A02C2">
      <w:pPr>
        <w:rPr>
          <w:rFonts w:ascii="Verdana" w:hAnsi="Verdana"/>
          <w:sz w:val="18"/>
          <w:szCs w:val="18"/>
        </w:rPr>
      </w:pPr>
    </w:p>
    <w:p w:rsidR="001A02C2" w:rsidRPr="005E32C6" w:rsidRDefault="00FD5B11" w:rsidP="005E32C6">
      <w:pPr>
        <w:pStyle w:val="a3"/>
        <w:numPr>
          <w:ilvl w:val="0"/>
          <w:numId w:val="6"/>
        </w:numPr>
        <w:rPr>
          <w:rFonts w:ascii="Verdana" w:hAnsi="Verdana"/>
          <w:sz w:val="18"/>
          <w:szCs w:val="18"/>
        </w:rPr>
      </w:pPr>
      <w:r w:rsidRPr="005E32C6">
        <w:rPr>
          <w:rFonts w:ascii="Verdana" w:hAnsi="Verdana"/>
          <w:sz w:val="18"/>
          <w:szCs w:val="18"/>
        </w:rPr>
        <w:t>Πρέπει να υπάρχουν φόροι κατοχής ακινήτων (</w:t>
      </w:r>
      <w:proofErr w:type="spellStart"/>
      <w:r w:rsidRPr="005E32C6">
        <w:rPr>
          <w:rFonts w:ascii="Verdana" w:hAnsi="Verdana"/>
          <w:sz w:val="18"/>
          <w:szCs w:val="18"/>
        </w:rPr>
        <w:t>recurrent</w:t>
      </w:r>
      <w:proofErr w:type="spellEnd"/>
      <w:r w:rsidRPr="005E32C6">
        <w:rPr>
          <w:rFonts w:ascii="Verdana" w:hAnsi="Verdana"/>
          <w:sz w:val="18"/>
          <w:szCs w:val="18"/>
        </w:rPr>
        <w:t xml:space="preserve"> </w:t>
      </w:r>
      <w:proofErr w:type="spellStart"/>
      <w:r w:rsidRPr="005E32C6">
        <w:rPr>
          <w:rFonts w:ascii="Verdana" w:hAnsi="Verdana"/>
          <w:sz w:val="18"/>
          <w:szCs w:val="18"/>
        </w:rPr>
        <w:t>property</w:t>
      </w:r>
      <w:proofErr w:type="spellEnd"/>
      <w:r w:rsidRPr="005E32C6">
        <w:rPr>
          <w:rFonts w:ascii="Verdana" w:hAnsi="Verdana"/>
          <w:sz w:val="18"/>
          <w:szCs w:val="18"/>
        </w:rPr>
        <w:t xml:space="preserve"> </w:t>
      </w:r>
      <w:proofErr w:type="spellStart"/>
      <w:r w:rsidRPr="005E32C6">
        <w:rPr>
          <w:rFonts w:ascii="Verdana" w:hAnsi="Verdana"/>
          <w:sz w:val="18"/>
          <w:szCs w:val="18"/>
        </w:rPr>
        <w:t>taxes</w:t>
      </w:r>
      <w:proofErr w:type="spellEnd"/>
      <w:r w:rsidRPr="005E32C6">
        <w:rPr>
          <w:rFonts w:ascii="Verdana" w:hAnsi="Verdana"/>
          <w:sz w:val="18"/>
          <w:szCs w:val="18"/>
        </w:rPr>
        <w:t>);</w:t>
      </w:r>
      <w:r w:rsidR="00311D63" w:rsidRPr="005E32C6">
        <w:rPr>
          <w:rFonts w:ascii="Verdana" w:hAnsi="Verdana"/>
          <w:sz w:val="18"/>
          <w:szCs w:val="18"/>
        </w:rPr>
        <w:t xml:space="preserve"> Αν ναι, να χρηματοδοτούν κεντρικό κράτος ή την ΤΑ;</w:t>
      </w:r>
    </w:p>
    <w:p w:rsidR="00FD5B11" w:rsidRPr="00E75B0C" w:rsidRDefault="00FD5B11" w:rsidP="001A02C2">
      <w:pPr>
        <w:rPr>
          <w:rFonts w:ascii="Verdana" w:hAnsi="Verdana"/>
          <w:sz w:val="18"/>
          <w:szCs w:val="18"/>
        </w:rPr>
      </w:pPr>
    </w:p>
    <w:p w:rsidR="00FD5B11" w:rsidRPr="00E75B0C" w:rsidRDefault="00311D63" w:rsidP="001A02C2">
      <w:pPr>
        <w:rPr>
          <w:rFonts w:ascii="Verdana" w:hAnsi="Verdana"/>
          <w:sz w:val="18"/>
          <w:szCs w:val="18"/>
        </w:rPr>
      </w:pPr>
      <w:r w:rsidRPr="00E75B0C">
        <w:rPr>
          <w:rFonts w:ascii="Verdana" w:hAnsi="Verdana"/>
          <w:sz w:val="18"/>
          <w:szCs w:val="18"/>
        </w:rPr>
        <w:t>Από τα ανωτέρω συμπεραίνεται πως αν είναι να υπάρχουν φόροι κατοχής, αυτοί πρέπει να χρηματοδοτούν την ΤΑ</w:t>
      </w:r>
      <w:r w:rsidR="007A6FCE" w:rsidRPr="00E75B0C">
        <w:rPr>
          <w:rFonts w:ascii="Verdana" w:hAnsi="Verdana"/>
          <w:sz w:val="18"/>
          <w:szCs w:val="18"/>
        </w:rPr>
        <w:t>,</w:t>
      </w:r>
      <w:r w:rsidRPr="00E75B0C">
        <w:rPr>
          <w:rFonts w:ascii="Verdana" w:hAnsi="Verdana"/>
          <w:sz w:val="18"/>
          <w:szCs w:val="18"/>
        </w:rPr>
        <w:t xml:space="preserve"> λόγω της </w:t>
      </w:r>
      <w:r w:rsidR="00AB3E8F" w:rsidRPr="00E75B0C">
        <w:rPr>
          <w:rFonts w:ascii="Verdana" w:hAnsi="Verdana"/>
          <w:sz w:val="18"/>
          <w:szCs w:val="18"/>
        </w:rPr>
        <w:t>μεγαλύτερης</w:t>
      </w:r>
      <w:r w:rsidRPr="00E75B0C">
        <w:rPr>
          <w:rFonts w:ascii="Verdana" w:hAnsi="Verdana"/>
          <w:sz w:val="18"/>
          <w:szCs w:val="18"/>
        </w:rPr>
        <w:t xml:space="preserve"> </w:t>
      </w:r>
      <w:r w:rsidR="00AB3E8F" w:rsidRPr="00E75B0C">
        <w:rPr>
          <w:rFonts w:ascii="Verdana" w:hAnsi="Verdana"/>
          <w:sz w:val="18"/>
          <w:szCs w:val="18"/>
        </w:rPr>
        <w:t>ανταποδοτικότητας</w:t>
      </w:r>
      <w:r w:rsidR="00146443" w:rsidRPr="00E75B0C">
        <w:rPr>
          <w:rFonts w:ascii="Verdana" w:hAnsi="Verdana"/>
          <w:sz w:val="18"/>
          <w:szCs w:val="18"/>
        </w:rPr>
        <w:t xml:space="preserve"> που τότε εξασφαλίζουν</w:t>
      </w:r>
      <w:r w:rsidRPr="00E75B0C">
        <w:rPr>
          <w:rFonts w:ascii="Verdana" w:hAnsi="Verdana"/>
          <w:sz w:val="18"/>
          <w:szCs w:val="18"/>
        </w:rPr>
        <w:t>. Εν τοιαύτη περιπτώσει όμως, θα πρέπει να γίνει άλλη συζήτηση (που δεν είναι του παρόντος) για αναγκαίες βελτιώσεις</w:t>
      </w:r>
      <w:r w:rsidR="00A45EEA" w:rsidRPr="00E75B0C">
        <w:rPr>
          <w:rFonts w:ascii="Verdana" w:hAnsi="Verdana"/>
          <w:sz w:val="18"/>
          <w:szCs w:val="18"/>
        </w:rPr>
        <w:t xml:space="preserve"> στον υπολογισμό και </w:t>
      </w:r>
      <w:r w:rsidR="007A6FCE" w:rsidRPr="00E75B0C">
        <w:rPr>
          <w:rFonts w:ascii="Verdana" w:hAnsi="Verdana"/>
          <w:sz w:val="18"/>
          <w:szCs w:val="18"/>
        </w:rPr>
        <w:t xml:space="preserve">την </w:t>
      </w:r>
      <w:r w:rsidR="00A45EEA" w:rsidRPr="00E75B0C">
        <w:rPr>
          <w:rFonts w:ascii="Verdana" w:hAnsi="Verdana"/>
          <w:sz w:val="18"/>
          <w:szCs w:val="18"/>
        </w:rPr>
        <w:t>επιβολή αυτών των φόρων, ώστε, μεταξύ άλλων, να μη παραβιάζουν την αρχή της φοροδοτικής ικανότητος και να μετριασθούν σημαντικά πιθανές επιπτώσεις αυτών των φόρων στην κτηματαγορά.</w:t>
      </w:r>
    </w:p>
    <w:p w:rsidR="00FD5B11" w:rsidRDefault="00146443" w:rsidP="001A02C2">
      <w:pPr>
        <w:rPr>
          <w:rFonts w:ascii="Verdana" w:hAnsi="Verdana"/>
          <w:sz w:val="18"/>
          <w:szCs w:val="18"/>
        </w:rPr>
      </w:pPr>
      <w:r w:rsidRPr="00E75B0C">
        <w:rPr>
          <w:rFonts w:ascii="Verdana" w:hAnsi="Verdana"/>
          <w:sz w:val="18"/>
          <w:szCs w:val="18"/>
        </w:rPr>
        <w:t>Λέγεται</w:t>
      </w:r>
      <w:r w:rsidR="007A6FCE" w:rsidRPr="00E75B0C">
        <w:rPr>
          <w:rFonts w:ascii="Verdana" w:hAnsi="Verdana"/>
          <w:sz w:val="18"/>
          <w:szCs w:val="18"/>
        </w:rPr>
        <w:t>,</w:t>
      </w:r>
      <w:r w:rsidRPr="00E75B0C">
        <w:rPr>
          <w:rFonts w:ascii="Verdana" w:hAnsi="Verdana"/>
          <w:sz w:val="18"/>
          <w:szCs w:val="18"/>
        </w:rPr>
        <w:t xml:space="preserve"> </w:t>
      </w:r>
      <w:r w:rsidR="007A6FCE" w:rsidRPr="00E75B0C">
        <w:rPr>
          <w:rFonts w:ascii="Verdana" w:hAnsi="Verdana"/>
          <w:sz w:val="18"/>
          <w:szCs w:val="18"/>
        </w:rPr>
        <w:t>επίσης,</w:t>
      </w:r>
      <w:r w:rsidRPr="00E75B0C">
        <w:rPr>
          <w:rFonts w:ascii="Verdana" w:hAnsi="Verdana"/>
          <w:sz w:val="18"/>
          <w:szCs w:val="18"/>
        </w:rPr>
        <w:t xml:space="preserve"> πως οι φόρ</w:t>
      </w:r>
      <w:r w:rsidR="00410C45" w:rsidRPr="00E75B0C">
        <w:rPr>
          <w:rFonts w:ascii="Verdana" w:hAnsi="Verdana"/>
          <w:sz w:val="18"/>
          <w:szCs w:val="18"/>
        </w:rPr>
        <w:t xml:space="preserve">οι κατοχής, όταν </w:t>
      </w:r>
      <w:r w:rsidR="00AB3E8F" w:rsidRPr="00E75B0C">
        <w:rPr>
          <w:rFonts w:ascii="Verdana" w:hAnsi="Verdana"/>
          <w:sz w:val="18"/>
          <w:szCs w:val="18"/>
        </w:rPr>
        <w:t>συλλέγονται</w:t>
      </w:r>
      <w:r w:rsidR="00410C45" w:rsidRPr="00E75B0C">
        <w:rPr>
          <w:rFonts w:ascii="Verdana" w:hAnsi="Verdana"/>
          <w:sz w:val="18"/>
          <w:szCs w:val="18"/>
        </w:rPr>
        <w:t xml:space="preserve"> απ’ τ</w:t>
      </w:r>
      <w:r w:rsidR="007A6FCE" w:rsidRPr="00E75B0C">
        <w:rPr>
          <w:rFonts w:ascii="Verdana" w:hAnsi="Verdana"/>
          <w:sz w:val="18"/>
          <w:szCs w:val="18"/>
        </w:rPr>
        <w:t>ην ΤΑ, χαρίζουν σε αυτή</w:t>
      </w:r>
      <w:r w:rsidRPr="00E75B0C">
        <w:rPr>
          <w:rFonts w:ascii="Verdana" w:hAnsi="Verdana"/>
          <w:sz w:val="18"/>
          <w:szCs w:val="18"/>
        </w:rPr>
        <w:t xml:space="preserve"> </w:t>
      </w:r>
      <w:r w:rsidR="00AB3E8F" w:rsidRPr="00E75B0C">
        <w:rPr>
          <w:rFonts w:ascii="Verdana" w:hAnsi="Verdana"/>
          <w:sz w:val="18"/>
          <w:szCs w:val="18"/>
        </w:rPr>
        <w:t>μεγαλύτερη</w:t>
      </w:r>
      <w:r w:rsidRPr="00E75B0C">
        <w:rPr>
          <w:rFonts w:ascii="Verdana" w:hAnsi="Verdana"/>
          <w:sz w:val="18"/>
          <w:szCs w:val="18"/>
        </w:rPr>
        <w:t xml:space="preserve"> αυτονομία απ’ το κεντρικό κράτος. Αυτό είναι σωστό, αλλά δεν είναι κατ’ ανάγκην ο μόνος τρόπος να εξασφαλισθεί αυτή η αυτονομία.</w:t>
      </w:r>
      <w:r w:rsidR="00AB3E8F" w:rsidRPr="00E75B0C">
        <w:rPr>
          <w:rFonts w:ascii="Verdana" w:hAnsi="Verdana"/>
          <w:sz w:val="18"/>
          <w:szCs w:val="18"/>
        </w:rPr>
        <w:t xml:space="preserve"> </w:t>
      </w:r>
      <w:r w:rsidR="00410C45" w:rsidRPr="00E75B0C">
        <w:rPr>
          <w:rFonts w:ascii="Verdana" w:hAnsi="Verdana"/>
          <w:sz w:val="18"/>
          <w:szCs w:val="18"/>
        </w:rPr>
        <w:t xml:space="preserve">Μπορεί, όπως δείχνει η </w:t>
      </w:r>
      <w:r w:rsidR="007A6FCE" w:rsidRPr="00E75B0C">
        <w:rPr>
          <w:rFonts w:ascii="Verdana" w:hAnsi="Verdana"/>
          <w:sz w:val="18"/>
          <w:szCs w:val="18"/>
        </w:rPr>
        <w:t>εμ</w:t>
      </w:r>
      <w:r w:rsidR="00410C45" w:rsidRPr="00E75B0C">
        <w:rPr>
          <w:rFonts w:ascii="Verdana" w:hAnsi="Verdana"/>
          <w:sz w:val="18"/>
          <w:szCs w:val="18"/>
        </w:rPr>
        <w:t>πε</w:t>
      </w:r>
      <w:r w:rsidR="007A6FCE" w:rsidRPr="00E75B0C">
        <w:rPr>
          <w:rFonts w:ascii="Verdana" w:hAnsi="Verdana"/>
          <w:sz w:val="18"/>
          <w:szCs w:val="18"/>
        </w:rPr>
        <w:t>ι</w:t>
      </w:r>
      <w:r w:rsidR="00410C45" w:rsidRPr="00E75B0C">
        <w:rPr>
          <w:rFonts w:ascii="Verdana" w:hAnsi="Verdana"/>
          <w:sz w:val="18"/>
          <w:szCs w:val="18"/>
        </w:rPr>
        <w:t>ρ</w:t>
      </w:r>
      <w:r w:rsidR="007A6FCE" w:rsidRPr="00E75B0C">
        <w:rPr>
          <w:rFonts w:ascii="Verdana" w:hAnsi="Verdana"/>
          <w:sz w:val="18"/>
          <w:szCs w:val="18"/>
        </w:rPr>
        <w:t>ί</w:t>
      </w:r>
      <w:r w:rsidR="00410C45" w:rsidRPr="00E75B0C">
        <w:rPr>
          <w:rFonts w:ascii="Verdana" w:hAnsi="Verdana"/>
          <w:sz w:val="18"/>
          <w:szCs w:val="18"/>
        </w:rPr>
        <w:t>α Γαλλίας και Γερμανίας</w:t>
      </w:r>
      <w:r w:rsidR="007A6FCE" w:rsidRPr="00E75B0C">
        <w:rPr>
          <w:rFonts w:ascii="Verdana" w:hAnsi="Verdana"/>
          <w:sz w:val="18"/>
          <w:szCs w:val="18"/>
        </w:rPr>
        <w:t>,</w:t>
      </w:r>
      <w:r w:rsidR="00410C45" w:rsidRPr="00E75B0C">
        <w:rPr>
          <w:rFonts w:ascii="Verdana" w:hAnsi="Verdana"/>
          <w:sz w:val="18"/>
          <w:szCs w:val="18"/>
        </w:rPr>
        <w:t xml:space="preserve"> να </w:t>
      </w:r>
      <w:r w:rsidR="00AB3E8F" w:rsidRPr="00E75B0C">
        <w:rPr>
          <w:rFonts w:ascii="Verdana" w:hAnsi="Verdana"/>
          <w:sz w:val="18"/>
          <w:szCs w:val="18"/>
        </w:rPr>
        <w:t>καθορίζονται</w:t>
      </w:r>
      <w:r w:rsidR="00410C45" w:rsidRPr="00E75B0C">
        <w:rPr>
          <w:rFonts w:ascii="Verdana" w:hAnsi="Verdana"/>
          <w:sz w:val="18"/>
          <w:szCs w:val="18"/>
        </w:rPr>
        <w:t xml:space="preserve"> από κοινού από κεντρικό κράτος και ΤΑ, ακόμη και να </w:t>
      </w:r>
      <w:r w:rsidR="00AB3E8F" w:rsidRPr="00E75B0C">
        <w:rPr>
          <w:rFonts w:ascii="Verdana" w:hAnsi="Verdana"/>
          <w:sz w:val="18"/>
          <w:szCs w:val="18"/>
        </w:rPr>
        <w:t>συλλέγονται</w:t>
      </w:r>
      <w:r w:rsidR="00410C45" w:rsidRPr="00E75B0C">
        <w:rPr>
          <w:rFonts w:ascii="Verdana" w:hAnsi="Verdana"/>
          <w:sz w:val="18"/>
          <w:szCs w:val="18"/>
        </w:rPr>
        <w:t xml:space="preserve"> απ’ το κεντρικό κράτος (όπως συμβαίνει σε Γαλλία &amp; Γερμανία, αλλά και με τα </w:t>
      </w:r>
      <w:r w:rsidR="00410C45" w:rsidRPr="00E75B0C">
        <w:rPr>
          <w:rFonts w:ascii="Verdana" w:hAnsi="Verdana"/>
          <w:sz w:val="18"/>
          <w:szCs w:val="18"/>
          <w:lang w:val="en-US"/>
        </w:rPr>
        <w:t>business</w:t>
      </w:r>
      <w:r w:rsidR="00410C45" w:rsidRPr="00E75B0C">
        <w:rPr>
          <w:rFonts w:ascii="Verdana" w:hAnsi="Verdana"/>
          <w:sz w:val="18"/>
          <w:szCs w:val="18"/>
        </w:rPr>
        <w:t xml:space="preserve"> </w:t>
      </w:r>
      <w:r w:rsidR="00410C45" w:rsidRPr="00E75B0C">
        <w:rPr>
          <w:rFonts w:ascii="Verdana" w:hAnsi="Verdana"/>
          <w:sz w:val="18"/>
          <w:szCs w:val="18"/>
          <w:lang w:val="en-US"/>
        </w:rPr>
        <w:t>rates</w:t>
      </w:r>
      <w:r w:rsidR="00410C45" w:rsidRPr="00E75B0C">
        <w:rPr>
          <w:rFonts w:ascii="Verdana" w:hAnsi="Verdana"/>
          <w:sz w:val="18"/>
          <w:szCs w:val="18"/>
        </w:rPr>
        <w:t xml:space="preserve"> στο Ην. Βασίλειο), αλλά πάλι να χρηματοδοτούν, μετά την αναγκαία θεσμική </w:t>
      </w:r>
      <w:r w:rsidR="00AB3E8F" w:rsidRPr="00E75B0C">
        <w:rPr>
          <w:rFonts w:ascii="Verdana" w:hAnsi="Verdana"/>
          <w:sz w:val="18"/>
          <w:szCs w:val="18"/>
        </w:rPr>
        <w:t>κατοχύρωση</w:t>
      </w:r>
      <w:r w:rsidR="00410C45" w:rsidRPr="00E75B0C">
        <w:rPr>
          <w:rFonts w:ascii="Verdana" w:hAnsi="Verdana"/>
          <w:sz w:val="18"/>
          <w:szCs w:val="18"/>
        </w:rPr>
        <w:t xml:space="preserve">, την ΤΑ. </w:t>
      </w:r>
    </w:p>
    <w:p w:rsidR="005E32C6" w:rsidRPr="00E75B0C" w:rsidRDefault="005E32C6" w:rsidP="001A02C2">
      <w:pPr>
        <w:rPr>
          <w:rFonts w:ascii="Verdana" w:hAnsi="Verdana"/>
          <w:sz w:val="18"/>
          <w:szCs w:val="18"/>
        </w:rPr>
      </w:pPr>
    </w:p>
    <w:p w:rsidR="00FD5B11" w:rsidRPr="00E75B0C" w:rsidRDefault="00A45EEA" w:rsidP="001A02C2">
      <w:pPr>
        <w:rPr>
          <w:rFonts w:ascii="Verdana" w:hAnsi="Verdana"/>
          <w:sz w:val="18"/>
          <w:szCs w:val="18"/>
        </w:rPr>
      </w:pPr>
      <w:r w:rsidRPr="00E75B0C">
        <w:rPr>
          <w:rFonts w:ascii="Verdana" w:hAnsi="Verdana"/>
          <w:sz w:val="18"/>
          <w:szCs w:val="18"/>
        </w:rPr>
        <w:t>Πλεονεκτήματα / μειονεκτήματα των φόρων ακινήτων</w:t>
      </w:r>
    </w:p>
    <w:p w:rsidR="00FD5B11" w:rsidRPr="00E75B0C" w:rsidRDefault="00FD5B11" w:rsidP="001A02C2">
      <w:pPr>
        <w:rPr>
          <w:rFonts w:ascii="Verdana" w:hAnsi="Verdana"/>
          <w:sz w:val="18"/>
          <w:szCs w:val="18"/>
        </w:rPr>
      </w:pPr>
    </w:p>
    <w:p w:rsidR="008A797D" w:rsidRDefault="00AB3E8F">
      <w:pPr>
        <w:rPr>
          <w:rFonts w:ascii="Verdana" w:hAnsi="Verdana"/>
          <w:sz w:val="18"/>
          <w:szCs w:val="18"/>
        </w:rPr>
      </w:pPr>
      <w:r w:rsidRPr="00E75B0C">
        <w:rPr>
          <w:rFonts w:ascii="Verdana" w:hAnsi="Verdana"/>
          <w:sz w:val="18"/>
          <w:szCs w:val="18"/>
        </w:rPr>
        <w:t>Ήδη</w:t>
      </w:r>
      <w:r w:rsidR="00A45EEA" w:rsidRPr="00E75B0C">
        <w:rPr>
          <w:rFonts w:ascii="Verdana" w:hAnsi="Verdana"/>
          <w:sz w:val="18"/>
          <w:szCs w:val="18"/>
        </w:rPr>
        <w:t xml:space="preserve"> αυτό απαντήθηκε συνοπτικά ανωτέρω.</w:t>
      </w:r>
    </w:p>
    <w:p w:rsidR="005E32C6" w:rsidRPr="00E75B0C" w:rsidRDefault="005E32C6">
      <w:pPr>
        <w:rPr>
          <w:rFonts w:ascii="Verdana" w:hAnsi="Verdana"/>
          <w:sz w:val="18"/>
          <w:szCs w:val="18"/>
        </w:rPr>
      </w:pPr>
    </w:p>
    <w:p w:rsidR="00A45EEA" w:rsidRPr="005E32C6" w:rsidRDefault="007A6FCE" w:rsidP="005E32C6">
      <w:pPr>
        <w:pStyle w:val="a3"/>
        <w:numPr>
          <w:ilvl w:val="0"/>
          <w:numId w:val="6"/>
        </w:numPr>
        <w:rPr>
          <w:rFonts w:ascii="Verdana" w:hAnsi="Verdana"/>
          <w:sz w:val="18"/>
          <w:szCs w:val="18"/>
        </w:rPr>
      </w:pPr>
      <w:r w:rsidRPr="005E32C6">
        <w:rPr>
          <w:rFonts w:ascii="Verdana" w:hAnsi="Verdana"/>
          <w:sz w:val="18"/>
          <w:szCs w:val="18"/>
        </w:rPr>
        <w:t>Πώς μετρά</w:t>
      </w:r>
      <w:r w:rsidR="00FB6BE1" w:rsidRPr="005E32C6">
        <w:rPr>
          <w:rFonts w:ascii="Verdana" w:hAnsi="Verdana"/>
          <w:sz w:val="18"/>
          <w:szCs w:val="18"/>
        </w:rPr>
        <w:t>ται</w:t>
      </w:r>
      <w:r w:rsidR="006F78AE" w:rsidRPr="005E32C6">
        <w:rPr>
          <w:rFonts w:ascii="Verdana" w:hAnsi="Verdana"/>
          <w:sz w:val="18"/>
          <w:szCs w:val="18"/>
        </w:rPr>
        <w:t xml:space="preserve"> το βάρος των φόρων κατοχής;</w:t>
      </w:r>
      <w:r w:rsidR="00FB6BE1" w:rsidRPr="005E32C6">
        <w:rPr>
          <w:rFonts w:ascii="Verdana" w:hAnsi="Verdana"/>
          <w:sz w:val="18"/>
          <w:szCs w:val="18"/>
        </w:rPr>
        <w:t xml:space="preserve"> </w:t>
      </w:r>
      <w:r w:rsidR="00FB6BE1" w:rsidRPr="005E32C6">
        <w:rPr>
          <w:rFonts w:ascii="Verdana" w:hAnsi="Verdana"/>
          <w:i/>
          <w:sz w:val="18"/>
          <w:szCs w:val="18"/>
        </w:rPr>
        <w:t>Είναι, συγκριτικά με άλλες χώρες, μικρό ή μεγάλο το βάρος των φόρων ακινήτων (και δη φόρων κατοχής) στην Ελλάδα;</w:t>
      </w:r>
    </w:p>
    <w:p w:rsidR="00A45EEA" w:rsidRPr="00E75B0C" w:rsidRDefault="00A45EEA" w:rsidP="001A02C2">
      <w:pPr>
        <w:rPr>
          <w:rFonts w:ascii="Verdana" w:hAnsi="Verdana"/>
          <w:sz w:val="18"/>
          <w:szCs w:val="18"/>
        </w:rPr>
      </w:pPr>
    </w:p>
    <w:p w:rsidR="00A45EEA" w:rsidRPr="00E75B0C" w:rsidRDefault="006F48C5" w:rsidP="001A02C2">
      <w:pPr>
        <w:rPr>
          <w:rFonts w:ascii="Verdana" w:hAnsi="Verdana"/>
          <w:sz w:val="18"/>
          <w:szCs w:val="18"/>
        </w:rPr>
      </w:pPr>
      <w:r w:rsidRPr="00E75B0C">
        <w:rPr>
          <w:rFonts w:ascii="Verdana" w:hAnsi="Verdana"/>
          <w:sz w:val="18"/>
          <w:szCs w:val="18"/>
        </w:rPr>
        <w:t>Δ</w:t>
      </w:r>
      <w:r w:rsidR="00AB3E8F" w:rsidRPr="00E75B0C">
        <w:rPr>
          <w:rFonts w:ascii="Verdana" w:hAnsi="Verdana"/>
          <w:sz w:val="18"/>
          <w:szCs w:val="18"/>
        </w:rPr>
        <w:t xml:space="preserve">ύο </w:t>
      </w:r>
      <w:r w:rsidR="00FB6BE1" w:rsidRPr="00E75B0C">
        <w:rPr>
          <w:rFonts w:ascii="Verdana" w:hAnsi="Verdana"/>
          <w:sz w:val="18"/>
          <w:szCs w:val="18"/>
        </w:rPr>
        <w:t xml:space="preserve">μπορεί να είναι οι τρόποι </w:t>
      </w:r>
      <w:r w:rsidR="007A6FCE" w:rsidRPr="00E75B0C">
        <w:rPr>
          <w:rFonts w:ascii="Verdana" w:hAnsi="Verdana"/>
          <w:sz w:val="18"/>
          <w:szCs w:val="18"/>
        </w:rPr>
        <w:t>μέτρησης</w:t>
      </w:r>
      <w:r w:rsidR="00FB6BE1" w:rsidRPr="00E75B0C">
        <w:rPr>
          <w:rFonts w:ascii="Verdana" w:hAnsi="Verdana"/>
          <w:sz w:val="18"/>
          <w:szCs w:val="18"/>
        </w:rPr>
        <w:t xml:space="preserve"> του βάρους των φόρων κατοχής</w:t>
      </w:r>
      <w:r w:rsidRPr="00E75B0C">
        <w:rPr>
          <w:rFonts w:ascii="Verdana" w:hAnsi="Verdana"/>
          <w:sz w:val="18"/>
          <w:szCs w:val="18"/>
        </w:rPr>
        <w:t>:</w:t>
      </w:r>
    </w:p>
    <w:p w:rsidR="006F48C5" w:rsidRPr="00E75B0C" w:rsidRDefault="006F48C5" w:rsidP="006F48C5">
      <w:pPr>
        <w:pStyle w:val="a3"/>
        <w:numPr>
          <w:ilvl w:val="0"/>
          <w:numId w:val="3"/>
        </w:numPr>
        <w:rPr>
          <w:rFonts w:ascii="Verdana" w:hAnsi="Verdana"/>
          <w:sz w:val="18"/>
          <w:szCs w:val="18"/>
        </w:rPr>
      </w:pPr>
      <w:r w:rsidRPr="00E75B0C">
        <w:rPr>
          <w:rFonts w:ascii="Verdana" w:hAnsi="Verdana"/>
          <w:sz w:val="18"/>
          <w:szCs w:val="18"/>
        </w:rPr>
        <w:t xml:space="preserve">Βάσει της </w:t>
      </w:r>
      <w:r w:rsidR="007A6FCE" w:rsidRPr="00E75B0C">
        <w:rPr>
          <w:rFonts w:ascii="Verdana" w:hAnsi="Verdana"/>
          <w:sz w:val="18"/>
          <w:szCs w:val="18"/>
        </w:rPr>
        <w:t>επίπτωσης</w:t>
      </w:r>
      <w:r w:rsidRPr="00E75B0C">
        <w:rPr>
          <w:rFonts w:ascii="Verdana" w:hAnsi="Verdana"/>
          <w:sz w:val="18"/>
          <w:szCs w:val="18"/>
        </w:rPr>
        <w:t xml:space="preserve"> που έχουν στις τιμές ακινήτων και την κτηματαγορά.</w:t>
      </w:r>
    </w:p>
    <w:p w:rsidR="006F48C5" w:rsidRPr="00E75B0C" w:rsidRDefault="006F48C5" w:rsidP="006F48C5">
      <w:pPr>
        <w:pStyle w:val="a3"/>
        <w:numPr>
          <w:ilvl w:val="0"/>
          <w:numId w:val="3"/>
        </w:numPr>
        <w:rPr>
          <w:rFonts w:ascii="Verdana" w:hAnsi="Verdana"/>
          <w:sz w:val="18"/>
          <w:szCs w:val="18"/>
        </w:rPr>
      </w:pPr>
      <w:r w:rsidRPr="00E75B0C">
        <w:rPr>
          <w:rFonts w:ascii="Verdana" w:hAnsi="Verdana"/>
          <w:sz w:val="18"/>
          <w:szCs w:val="18"/>
        </w:rPr>
        <w:t xml:space="preserve">Βάσει της </w:t>
      </w:r>
      <w:r w:rsidR="007A6FCE" w:rsidRPr="00E75B0C">
        <w:rPr>
          <w:rFonts w:ascii="Verdana" w:hAnsi="Verdana"/>
          <w:sz w:val="18"/>
          <w:szCs w:val="18"/>
        </w:rPr>
        <w:t>επίπτωσης</w:t>
      </w:r>
      <w:r w:rsidRPr="00E75B0C">
        <w:rPr>
          <w:rFonts w:ascii="Verdana" w:hAnsi="Verdana"/>
          <w:sz w:val="18"/>
          <w:szCs w:val="18"/>
        </w:rPr>
        <w:t xml:space="preserve"> που έχουν στο διαθέσιμο εισόδημα των ιδιοκτητών (η οποία επίπτωση, βεβαίως, έχει με την σειρά της επιπτώσεις αλλού, π.χ., στην </w:t>
      </w:r>
      <w:r w:rsidR="00AB3E8F" w:rsidRPr="00E75B0C">
        <w:rPr>
          <w:rFonts w:ascii="Verdana" w:hAnsi="Verdana"/>
          <w:sz w:val="18"/>
          <w:szCs w:val="18"/>
        </w:rPr>
        <w:t>κατανάλωση</w:t>
      </w:r>
      <w:r w:rsidRPr="00E75B0C">
        <w:rPr>
          <w:rFonts w:ascii="Verdana" w:hAnsi="Verdana"/>
          <w:sz w:val="18"/>
          <w:szCs w:val="18"/>
        </w:rPr>
        <w:t xml:space="preserve"> και κατ’ </w:t>
      </w:r>
      <w:r w:rsidR="00AB3E8F" w:rsidRPr="00E75B0C">
        <w:rPr>
          <w:rFonts w:ascii="Verdana" w:hAnsi="Verdana"/>
          <w:sz w:val="18"/>
          <w:szCs w:val="18"/>
        </w:rPr>
        <w:t>επέκταση</w:t>
      </w:r>
      <w:r w:rsidRPr="00E75B0C">
        <w:rPr>
          <w:rFonts w:ascii="Verdana" w:hAnsi="Verdana"/>
          <w:sz w:val="18"/>
          <w:szCs w:val="18"/>
        </w:rPr>
        <w:t xml:space="preserve"> στο ΑΕΠ). </w:t>
      </w:r>
    </w:p>
    <w:p w:rsidR="008C1D78" w:rsidRPr="00E75B0C" w:rsidRDefault="008C1D78" w:rsidP="006F48C5">
      <w:pPr>
        <w:rPr>
          <w:rFonts w:ascii="Verdana" w:hAnsi="Verdana"/>
          <w:sz w:val="18"/>
          <w:szCs w:val="18"/>
          <w:u w:val="single"/>
        </w:rPr>
      </w:pPr>
    </w:p>
    <w:p w:rsidR="00B2450D" w:rsidRPr="00E75B0C" w:rsidRDefault="00244802" w:rsidP="006F48C5">
      <w:pPr>
        <w:rPr>
          <w:rFonts w:ascii="Verdana" w:hAnsi="Verdana"/>
          <w:sz w:val="18"/>
          <w:szCs w:val="18"/>
        </w:rPr>
      </w:pPr>
      <w:r w:rsidRPr="00E75B0C">
        <w:rPr>
          <w:rFonts w:ascii="Verdana" w:hAnsi="Verdana"/>
          <w:sz w:val="18"/>
          <w:szCs w:val="18"/>
          <w:u w:val="single"/>
        </w:rPr>
        <w:t>Για τ</w:t>
      </w:r>
      <w:r w:rsidR="00FB6BE1" w:rsidRPr="00E75B0C">
        <w:rPr>
          <w:rFonts w:ascii="Verdana" w:hAnsi="Verdana"/>
          <w:sz w:val="18"/>
          <w:szCs w:val="18"/>
          <w:u w:val="single"/>
        </w:rPr>
        <w:t>ον πρώτο τρόπο</w:t>
      </w:r>
      <w:r w:rsidR="008B1274" w:rsidRPr="00E75B0C">
        <w:rPr>
          <w:rFonts w:ascii="Verdana" w:hAnsi="Verdana"/>
          <w:sz w:val="18"/>
          <w:szCs w:val="18"/>
          <w:u w:val="single"/>
        </w:rPr>
        <w:t xml:space="preserve"> (επίπτωση στην κτηματαγορά)</w:t>
      </w:r>
      <w:r w:rsidRPr="00E75B0C">
        <w:rPr>
          <w:rFonts w:ascii="Verdana" w:hAnsi="Verdana"/>
          <w:sz w:val="18"/>
          <w:szCs w:val="18"/>
        </w:rPr>
        <w:t xml:space="preserve">: </w:t>
      </w:r>
    </w:p>
    <w:p w:rsidR="006F48C5" w:rsidRPr="00E75B0C" w:rsidRDefault="007A6FCE" w:rsidP="006F48C5">
      <w:pPr>
        <w:rPr>
          <w:rFonts w:ascii="Verdana" w:hAnsi="Verdana"/>
          <w:sz w:val="18"/>
          <w:szCs w:val="18"/>
        </w:rPr>
      </w:pPr>
      <w:r w:rsidRPr="00E75B0C">
        <w:rPr>
          <w:rFonts w:ascii="Verdana" w:hAnsi="Verdana"/>
          <w:sz w:val="18"/>
          <w:szCs w:val="18"/>
        </w:rPr>
        <w:t>Ξέρουμε ήδη από τη</w:t>
      </w:r>
      <w:r w:rsidR="00244802" w:rsidRPr="00E75B0C">
        <w:rPr>
          <w:rFonts w:ascii="Verdana" w:hAnsi="Verdana"/>
          <w:sz w:val="18"/>
          <w:szCs w:val="18"/>
        </w:rPr>
        <w:t xml:space="preserve"> διεθνή βιβλιογραφία αλλά και από την πρόσφατη και τρέχουσα ελληνική εμπειρία, πως μεταβολές φόρων ακινήτων, οιουδήποτε είδους, επηρεάζουν τις τιμές των ακινήτων, καθώς τείνουν να προκαλούν αντίστροφες μεταβολές σε αυτές. </w:t>
      </w:r>
      <w:r w:rsidR="00AB3E8F" w:rsidRPr="00E75B0C">
        <w:rPr>
          <w:rFonts w:ascii="Verdana" w:hAnsi="Verdana"/>
          <w:sz w:val="18"/>
          <w:szCs w:val="18"/>
        </w:rPr>
        <w:t>Όταν</w:t>
      </w:r>
      <w:r w:rsidR="00244802" w:rsidRPr="00E75B0C">
        <w:rPr>
          <w:rFonts w:ascii="Verdana" w:hAnsi="Verdana"/>
          <w:sz w:val="18"/>
          <w:szCs w:val="18"/>
        </w:rPr>
        <w:t xml:space="preserve"> αυτό συνδυάζεται με μεταβολές στο ΑΕΠ και τα εισοδήματα (αλλά και με τη διαθεσιμότητα και τους όρους τραπεζικού δανεισμού για την αγορά ακινήτων), ο επηρεασμός – είτε προς τα επάνω είτε προς τα κάτω – μεγαλώνει. </w:t>
      </w:r>
    </w:p>
    <w:p w:rsidR="00244802" w:rsidRPr="00E75B0C" w:rsidRDefault="00E50744" w:rsidP="006F48C5">
      <w:pPr>
        <w:rPr>
          <w:rFonts w:ascii="Verdana" w:hAnsi="Verdana"/>
          <w:sz w:val="18"/>
          <w:szCs w:val="18"/>
        </w:rPr>
      </w:pPr>
      <w:r w:rsidRPr="00E75B0C">
        <w:rPr>
          <w:rFonts w:ascii="Verdana" w:hAnsi="Verdana"/>
          <w:sz w:val="18"/>
          <w:szCs w:val="18"/>
        </w:rPr>
        <w:t>Όμως,</w:t>
      </w:r>
      <w:r w:rsidR="00C10434" w:rsidRPr="00E75B0C">
        <w:rPr>
          <w:rFonts w:ascii="Verdana" w:hAnsi="Verdana"/>
          <w:sz w:val="18"/>
          <w:szCs w:val="18"/>
        </w:rPr>
        <w:t xml:space="preserve"> φ</w:t>
      </w:r>
      <w:r w:rsidR="00244802" w:rsidRPr="00E75B0C">
        <w:rPr>
          <w:rFonts w:ascii="Verdana" w:hAnsi="Verdana"/>
          <w:sz w:val="18"/>
          <w:szCs w:val="18"/>
        </w:rPr>
        <w:t xml:space="preserve">όροι </w:t>
      </w:r>
      <w:r w:rsidR="00B672FE" w:rsidRPr="00E75B0C">
        <w:rPr>
          <w:rFonts w:ascii="Verdana" w:hAnsi="Verdana"/>
          <w:sz w:val="18"/>
          <w:szCs w:val="18"/>
        </w:rPr>
        <w:t>μεταβίβασης</w:t>
      </w:r>
      <w:r w:rsidR="00C10434" w:rsidRPr="00E75B0C">
        <w:rPr>
          <w:rFonts w:ascii="Verdana" w:hAnsi="Verdana"/>
          <w:sz w:val="18"/>
          <w:szCs w:val="18"/>
        </w:rPr>
        <w:t xml:space="preserve"> (αγοραπωλησιών και υπεραξίας) </w:t>
      </w:r>
      <w:r w:rsidR="00244802" w:rsidRPr="00E75B0C">
        <w:rPr>
          <w:rFonts w:ascii="Verdana" w:hAnsi="Verdana"/>
          <w:sz w:val="18"/>
          <w:szCs w:val="18"/>
        </w:rPr>
        <w:t xml:space="preserve">που έχουν παραμείνει για μεγάλο χρονικό διάστημα, που έχουν </w:t>
      </w:r>
      <w:r w:rsidR="00AB3E8F" w:rsidRPr="00E75B0C">
        <w:rPr>
          <w:rFonts w:ascii="Verdana" w:hAnsi="Verdana"/>
          <w:sz w:val="18"/>
          <w:szCs w:val="18"/>
        </w:rPr>
        <w:t>παγιωθεί</w:t>
      </w:r>
      <w:r w:rsidR="00244802" w:rsidRPr="00E75B0C">
        <w:rPr>
          <w:rFonts w:ascii="Verdana" w:hAnsi="Verdana"/>
          <w:sz w:val="18"/>
          <w:szCs w:val="18"/>
        </w:rPr>
        <w:t xml:space="preserve"> δηλ., τείνουν, για δεδομένο επίπεδο ΑΕΠ και διαθεσίμων εισοδημάτων, να μην επηρεάζουν την κτηματαγορά. </w:t>
      </w:r>
      <w:r w:rsidR="0009338B" w:rsidRPr="00E75B0C">
        <w:rPr>
          <w:rFonts w:ascii="Verdana" w:hAnsi="Verdana"/>
          <w:sz w:val="18"/>
          <w:szCs w:val="18"/>
        </w:rPr>
        <w:t>Αν είναι υποτονική, θα παραμείνει έτσι. Αν είναι δυναμική, το ίδιο. Με δεδομένους δη</w:t>
      </w:r>
      <w:r w:rsidRPr="00E75B0C">
        <w:rPr>
          <w:rFonts w:ascii="Verdana" w:hAnsi="Verdana"/>
          <w:sz w:val="18"/>
          <w:szCs w:val="18"/>
        </w:rPr>
        <w:t>λ. όλους τους άλλους παράγοντες</w:t>
      </w:r>
      <w:r w:rsidR="0009338B" w:rsidRPr="00E75B0C">
        <w:rPr>
          <w:rFonts w:ascii="Verdana" w:hAnsi="Verdana"/>
          <w:sz w:val="18"/>
          <w:szCs w:val="18"/>
        </w:rPr>
        <w:t xml:space="preserve"> που επηρεάζουν την κτηματαγορά</w:t>
      </w:r>
      <w:r w:rsidRPr="00E75B0C">
        <w:rPr>
          <w:rFonts w:ascii="Verdana" w:hAnsi="Verdana"/>
          <w:sz w:val="18"/>
          <w:szCs w:val="18"/>
        </w:rPr>
        <w:t>,</w:t>
      </w:r>
      <w:r w:rsidR="0009338B" w:rsidRPr="00E75B0C">
        <w:rPr>
          <w:rFonts w:ascii="Verdana" w:hAnsi="Verdana"/>
          <w:sz w:val="18"/>
          <w:szCs w:val="18"/>
        </w:rPr>
        <w:t xml:space="preserve"> είναι η </w:t>
      </w:r>
      <w:r w:rsidR="00C10434" w:rsidRPr="00E75B0C">
        <w:rPr>
          <w:rFonts w:ascii="Verdana" w:hAnsi="Verdana"/>
          <w:sz w:val="18"/>
          <w:szCs w:val="18"/>
        </w:rPr>
        <w:t xml:space="preserve">αρχική επίδραση </w:t>
      </w:r>
      <w:r w:rsidR="00AB3E8F" w:rsidRPr="00E75B0C">
        <w:rPr>
          <w:rFonts w:ascii="Verdana" w:hAnsi="Verdana"/>
          <w:sz w:val="18"/>
          <w:szCs w:val="18"/>
        </w:rPr>
        <w:t>μιας</w:t>
      </w:r>
      <w:r w:rsidR="0009338B" w:rsidRPr="00E75B0C">
        <w:rPr>
          <w:rFonts w:ascii="Verdana" w:hAnsi="Verdana"/>
          <w:sz w:val="18"/>
          <w:szCs w:val="18"/>
        </w:rPr>
        <w:t xml:space="preserve"> μεταβολής</w:t>
      </w:r>
      <w:r w:rsidR="00C10434" w:rsidRPr="00E75B0C">
        <w:rPr>
          <w:rFonts w:ascii="Verdana" w:hAnsi="Verdana"/>
          <w:sz w:val="18"/>
          <w:szCs w:val="18"/>
        </w:rPr>
        <w:t xml:space="preserve"> φόρων </w:t>
      </w:r>
      <w:r w:rsidR="00B672FE" w:rsidRPr="00E75B0C">
        <w:rPr>
          <w:rFonts w:ascii="Verdana" w:hAnsi="Verdana"/>
          <w:sz w:val="18"/>
          <w:szCs w:val="18"/>
        </w:rPr>
        <w:t>μεταβίβασης</w:t>
      </w:r>
      <w:r w:rsidR="0009338B" w:rsidRPr="00E75B0C">
        <w:rPr>
          <w:rFonts w:ascii="Verdana" w:hAnsi="Verdana"/>
          <w:sz w:val="18"/>
          <w:szCs w:val="18"/>
        </w:rPr>
        <w:t xml:space="preserve"> που έχει σημασία. </w:t>
      </w:r>
    </w:p>
    <w:p w:rsidR="00113B71" w:rsidRPr="00E75B0C" w:rsidRDefault="00E50744" w:rsidP="006F48C5">
      <w:pPr>
        <w:rPr>
          <w:rFonts w:ascii="Verdana" w:hAnsi="Verdana"/>
          <w:sz w:val="18"/>
          <w:szCs w:val="18"/>
        </w:rPr>
      </w:pPr>
      <w:r w:rsidRPr="00E75B0C">
        <w:rPr>
          <w:rFonts w:ascii="Verdana" w:hAnsi="Verdana"/>
          <w:sz w:val="18"/>
          <w:szCs w:val="18"/>
        </w:rPr>
        <w:t>Δε</w:t>
      </w:r>
      <w:r w:rsidR="00C10434" w:rsidRPr="00E75B0C">
        <w:rPr>
          <w:rFonts w:ascii="Verdana" w:hAnsi="Verdana"/>
          <w:sz w:val="18"/>
          <w:szCs w:val="18"/>
        </w:rPr>
        <w:t xml:space="preserve"> συμβαίνει το ίδιο όμως με τους φόρους κατοχής (ίσως και με τους φόρους κληρονομίας και γονικής παροχής). </w:t>
      </w:r>
      <w:r w:rsidR="00113B71" w:rsidRPr="00E75B0C">
        <w:rPr>
          <w:rFonts w:ascii="Verdana" w:hAnsi="Verdana"/>
          <w:sz w:val="18"/>
          <w:szCs w:val="18"/>
        </w:rPr>
        <w:t>Οι μεν φόροι κληρονομίας (κ</w:t>
      </w:r>
      <w:r w:rsidR="00C10434" w:rsidRPr="00E75B0C">
        <w:rPr>
          <w:rFonts w:ascii="Verdana" w:hAnsi="Verdana"/>
          <w:sz w:val="18"/>
          <w:szCs w:val="18"/>
        </w:rPr>
        <w:t>αι γονικής παροχής) φαίνεται πως</w:t>
      </w:r>
      <w:r w:rsidR="00113B71" w:rsidRPr="00E75B0C">
        <w:rPr>
          <w:rFonts w:ascii="Verdana" w:hAnsi="Verdana"/>
          <w:sz w:val="18"/>
          <w:szCs w:val="18"/>
        </w:rPr>
        <w:t xml:space="preserve"> έχουν </w:t>
      </w:r>
      <w:r w:rsidR="00AB3E8F" w:rsidRPr="00E75B0C">
        <w:rPr>
          <w:rFonts w:ascii="Verdana" w:hAnsi="Verdana"/>
          <w:sz w:val="18"/>
          <w:szCs w:val="18"/>
        </w:rPr>
        <w:t>επίδραση</w:t>
      </w:r>
      <w:r w:rsidR="00113B71" w:rsidRPr="00E75B0C">
        <w:rPr>
          <w:rFonts w:ascii="Verdana" w:hAnsi="Verdana"/>
          <w:sz w:val="18"/>
          <w:szCs w:val="18"/>
        </w:rPr>
        <w:t xml:space="preserve">, που </w:t>
      </w:r>
      <w:r w:rsidRPr="00E75B0C">
        <w:rPr>
          <w:rFonts w:ascii="Verdana" w:hAnsi="Verdana"/>
          <w:sz w:val="18"/>
          <w:szCs w:val="18"/>
        </w:rPr>
        <w:t>εκδηλώνεται</w:t>
      </w:r>
      <w:r w:rsidR="00113B71" w:rsidRPr="00E75B0C">
        <w:rPr>
          <w:rFonts w:ascii="Verdana" w:hAnsi="Verdana"/>
          <w:sz w:val="18"/>
          <w:szCs w:val="18"/>
        </w:rPr>
        <w:t xml:space="preserve"> σε βάθος χρόνου, καθώς η απόκτηση περιουσίας είναι βασικό κίνητρο οικονομικής </w:t>
      </w:r>
      <w:r w:rsidR="00AB3E8F" w:rsidRPr="00E75B0C">
        <w:rPr>
          <w:rFonts w:ascii="Verdana" w:hAnsi="Verdana"/>
          <w:sz w:val="18"/>
          <w:szCs w:val="18"/>
        </w:rPr>
        <w:t>προσπάθειας</w:t>
      </w:r>
      <w:r w:rsidR="00113B71" w:rsidRPr="00E75B0C">
        <w:rPr>
          <w:rFonts w:ascii="Verdana" w:hAnsi="Verdana"/>
          <w:sz w:val="18"/>
          <w:szCs w:val="18"/>
        </w:rPr>
        <w:t xml:space="preserve"> για τα άτομα (που θέλουν να στηρίξουν οικο</w:t>
      </w:r>
      <w:r w:rsidR="008C1D78" w:rsidRPr="00E75B0C">
        <w:rPr>
          <w:rFonts w:ascii="Verdana" w:hAnsi="Verdana"/>
          <w:sz w:val="18"/>
          <w:szCs w:val="18"/>
        </w:rPr>
        <w:t>γ</w:t>
      </w:r>
      <w:r w:rsidR="00113B71" w:rsidRPr="00E75B0C">
        <w:rPr>
          <w:rFonts w:ascii="Verdana" w:hAnsi="Verdana"/>
          <w:sz w:val="18"/>
          <w:szCs w:val="18"/>
        </w:rPr>
        <w:t xml:space="preserve">ενειακές στρατηγικές </w:t>
      </w:r>
      <w:r w:rsidR="00AB3E8F" w:rsidRPr="00E75B0C">
        <w:rPr>
          <w:rFonts w:ascii="Verdana" w:hAnsi="Verdana"/>
          <w:sz w:val="18"/>
          <w:szCs w:val="18"/>
        </w:rPr>
        <w:t>κοινωνικό</w:t>
      </w:r>
      <w:r w:rsidR="00113B71" w:rsidRPr="00E75B0C">
        <w:rPr>
          <w:rFonts w:ascii="Verdana" w:hAnsi="Verdana"/>
          <w:sz w:val="18"/>
          <w:szCs w:val="18"/>
        </w:rPr>
        <w:t>-οικονομικής ανόδου). Μεγάλοι φόροι κλη</w:t>
      </w:r>
      <w:r w:rsidR="00AB3E8F" w:rsidRPr="00E75B0C">
        <w:rPr>
          <w:rFonts w:ascii="Verdana" w:hAnsi="Verdana"/>
          <w:sz w:val="18"/>
          <w:szCs w:val="18"/>
        </w:rPr>
        <w:t xml:space="preserve">ρονομίας (και γονικής παροχής) </w:t>
      </w:r>
      <w:r w:rsidR="00113B71" w:rsidRPr="00E75B0C">
        <w:rPr>
          <w:rFonts w:ascii="Verdana" w:hAnsi="Verdana"/>
          <w:sz w:val="18"/>
          <w:szCs w:val="18"/>
        </w:rPr>
        <w:t xml:space="preserve">μπορούν να υπονομεύσουν τέτοιες στρατηγικές και τα αντίστοιχα κίνητρα, με </w:t>
      </w:r>
      <w:r w:rsidR="00AB3E8F" w:rsidRPr="00E75B0C">
        <w:rPr>
          <w:rFonts w:ascii="Verdana" w:hAnsi="Verdana"/>
          <w:sz w:val="18"/>
          <w:szCs w:val="18"/>
        </w:rPr>
        <w:t>επίπτωση</w:t>
      </w:r>
      <w:r w:rsidRPr="00E75B0C">
        <w:rPr>
          <w:rFonts w:ascii="Verdana" w:hAnsi="Verdana"/>
          <w:sz w:val="18"/>
          <w:szCs w:val="18"/>
        </w:rPr>
        <w:t xml:space="preserve"> τόσο στην κτηματαγορά όσο και </w:t>
      </w:r>
      <w:r w:rsidR="00113B71" w:rsidRPr="00E75B0C">
        <w:rPr>
          <w:rFonts w:ascii="Verdana" w:hAnsi="Verdana"/>
          <w:sz w:val="18"/>
          <w:szCs w:val="18"/>
        </w:rPr>
        <w:t xml:space="preserve">την </w:t>
      </w:r>
      <w:r w:rsidR="00AB3E8F" w:rsidRPr="00E75B0C">
        <w:rPr>
          <w:rFonts w:ascii="Verdana" w:hAnsi="Verdana"/>
          <w:sz w:val="18"/>
          <w:szCs w:val="18"/>
        </w:rPr>
        <w:t>ευρύτερη</w:t>
      </w:r>
      <w:r w:rsidR="00113B71" w:rsidRPr="00E75B0C">
        <w:rPr>
          <w:rFonts w:ascii="Verdana" w:hAnsi="Verdana"/>
          <w:sz w:val="18"/>
          <w:szCs w:val="18"/>
        </w:rPr>
        <w:t xml:space="preserve"> οικονομία. </w:t>
      </w:r>
    </w:p>
    <w:p w:rsidR="00113B71" w:rsidRPr="00E75B0C" w:rsidRDefault="00113B71" w:rsidP="006F48C5">
      <w:pPr>
        <w:rPr>
          <w:rFonts w:ascii="Verdana" w:hAnsi="Verdana"/>
          <w:sz w:val="18"/>
          <w:szCs w:val="18"/>
        </w:rPr>
      </w:pPr>
      <w:r w:rsidRPr="00E75B0C">
        <w:rPr>
          <w:rFonts w:ascii="Verdana" w:hAnsi="Verdana"/>
          <w:sz w:val="18"/>
          <w:szCs w:val="18"/>
        </w:rPr>
        <w:t xml:space="preserve">Οι δε φόροι κατοχής, αν είναι μεγάλοι σε </w:t>
      </w:r>
      <w:r w:rsidR="00AB3E8F" w:rsidRPr="00E75B0C">
        <w:rPr>
          <w:rFonts w:ascii="Verdana" w:hAnsi="Verdana"/>
          <w:sz w:val="18"/>
          <w:szCs w:val="18"/>
        </w:rPr>
        <w:t>σχέση</w:t>
      </w:r>
      <w:r w:rsidRPr="00E75B0C">
        <w:rPr>
          <w:rFonts w:ascii="Verdana" w:hAnsi="Verdana"/>
          <w:sz w:val="18"/>
          <w:szCs w:val="18"/>
        </w:rPr>
        <w:t xml:space="preserve"> με το διαθέσιμο εισόδημα ή τα ταμειακά διαθέσιμα, θα ασκήσουν επίσης </w:t>
      </w:r>
      <w:r w:rsidR="00AB3E8F" w:rsidRPr="00E75B0C">
        <w:rPr>
          <w:rFonts w:ascii="Verdana" w:hAnsi="Verdana"/>
          <w:sz w:val="18"/>
          <w:szCs w:val="18"/>
        </w:rPr>
        <w:t>επίδραση</w:t>
      </w:r>
      <w:r w:rsidRPr="00E75B0C">
        <w:rPr>
          <w:rFonts w:ascii="Verdana" w:hAnsi="Verdana"/>
          <w:sz w:val="18"/>
          <w:szCs w:val="18"/>
        </w:rPr>
        <w:t xml:space="preserve"> στην κτηματαγορά</w:t>
      </w:r>
      <w:r w:rsidR="00C10434" w:rsidRPr="00E75B0C">
        <w:rPr>
          <w:rFonts w:ascii="Verdana" w:hAnsi="Verdana"/>
          <w:sz w:val="18"/>
          <w:szCs w:val="18"/>
        </w:rPr>
        <w:t xml:space="preserve">, που θα </w:t>
      </w:r>
      <w:r w:rsidR="00E50744" w:rsidRPr="00E75B0C">
        <w:rPr>
          <w:rFonts w:ascii="Verdana" w:hAnsi="Verdana"/>
          <w:sz w:val="18"/>
          <w:szCs w:val="18"/>
        </w:rPr>
        <w:t>εκδηλώνεται</w:t>
      </w:r>
      <w:r w:rsidR="00C10434" w:rsidRPr="00E75B0C">
        <w:rPr>
          <w:rFonts w:ascii="Verdana" w:hAnsi="Verdana"/>
          <w:sz w:val="18"/>
          <w:szCs w:val="18"/>
        </w:rPr>
        <w:t xml:space="preserve"> σε βάθος χρόνου, </w:t>
      </w:r>
      <w:r w:rsidR="00AB3E8F" w:rsidRPr="00E75B0C">
        <w:rPr>
          <w:rFonts w:ascii="Verdana" w:hAnsi="Verdana"/>
          <w:sz w:val="18"/>
          <w:szCs w:val="18"/>
        </w:rPr>
        <w:t>πιο</w:t>
      </w:r>
      <w:r w:rsidR="00C10434" w:rsidRPr="00E75B0C">
        <w:rPr>
          <w:rFonts w:ascii="Verdana" w:hAnsi="Verdana"/>
          <w:sz w:val="18"/>
          <w:szCs w:val="18"/>
        </w:rPr>
        <w:t xml:space="preserve"> γρήγορα</w:t>
      </w:r>
      <w:r w:rsidRPr="00E75B0C">
        <w:rPr>
          <w:rFonts w:ascii="Verdana" w:hAnsi="Verdana"/>
          <w:sz w:val="18"/>
          <w:szCs w:val="18"/>
        </w:rPr>
        <w:t xml:space="preserve"> μάλιστα απ’ </w:t>
      </w:r>
      <w:r w:rsidR="00E50744" w:rsidRPr="00E75B0C">
        <w:rPr>
          <w:rFonts w:ascii="Verdana" w:hAnsi="Verdana"/>
          <w:sz w:val="18"/>
          <w:szCs w:val="18"/>
        </w:rPr>
        <w:t>ότι</w:t>
      </w:r>
      <w:r w:rsidRPr="00E75B0C">
        <w:rPr>
          <w:rFonts w:ascii="Verdana" w:hAnsi="Verdana"/>
          <w:sz w:val="18"/>
          <w:szCs w:val="18"/>
        </w:rPr>
        <w:t xml:space="preserve"> οι φόροι κληρονομίας, καθώς θα ωθούν τους ιδιοκτήτες σε</w:t>
      </w:r>
      <w:r w:rsidR="00C10434" w:rsidRPr="00E75B0C">
        <w:rPr>
          <w:rFonts w:ascii="Verdana" w:hAnsi="Verdana"/>
          <w:sz w:val="18"/>
          <w:szCs w:val="18"/>
        </w:rPr>
        <w:t xml:space="preserve"> </w:t>
      </w:r>
      <w:r w:rsidR="00AB3E8F" w:rsidRPr="00E75B0C">
        <w:rPr>
          <w:rFonts w:ascii="Verdana" w:hAnsi="Verdana"/>
          <w:sz w:val="18"/>
          <w:szCs w:val="18"/>
        </w:rPr>
        <w:t>αναδιαμόρφωση</w:t>
      </w:r>
      <w:r w:rsidR="00C10434" w:rsidRPr="00E75B0C">
        <w:rPr>
          <w:rFonts w:ascii="Verdana" w:hAnsi="Verdana"/>
          <w:sz w:val="18"/>
          <w:szCs w:val="18"/>
        </w:rPr>
        <w:t xml:space="preserve"> των περιουσιακών των χαρτοφυλακίων – πιο απλά, θα ωθούν τους ιδιοκτήτες σε πωλήσεις ακινήτων. Βεβαίως</w:t>
      </w:r>
      <w:r w:rsidR="00E50744" w:rsidRPr="00E75B0C">
        <w:rPr>
          <w:rFonts w:ascii="Verdana" w:hAnsi="Verdana"/>
          <w:sz w:val="18"/>
          <w:szCs w:val="18"/>
        </w:rPr>
        <w:t>,</w:t>
      </w:r>
      <w:r w:rsidR="00C10434" w:rsidRPr="00E75B0C">
        <w:rPr>
          <w:rFonts w:ascii="Verdana" w:hAnsi="Verdana"/>
          <w:sz w:val="18"/>
          <w:szCs w:val="18"/>
        </w:rPr>
        <w:t xml:space="preserve"> αυτή η επίδραση </w:t>
      </w:r>
      <w:r w:rsidR="00AB3E8F" w:rsidRPr="00E75B0C">
        <w:rPr>
          <w:rFonts w:ascii="Verdana" w:hAnsi="Verdana"/>
          <w:sz w:val="18"/>
          <w:szCs w:val="18"/>
        </w:rPr>
        <w:t>μπορεί</w:t>
      </w:r>
      <w:r w:rsidR="00C10434" w:rsidRPr="00E75B0C">
        <w:rPr>
          <w:rFonts w:ascii="Verdana" w:hAnsi="Verdana"/>
          <w:sz w:val="18"/>
          <w:szCs w:val="18"/>
        </w:rPr>
        <w:t xml:space="preserve"> να μη φαίνεται καθαρά ή να μικραίνει αν και εφ’ όσον σε αυτό το βάθος χρόνου τα διαθέσιμα πραγματικά εισοδήματα και τα πρα</w:t>
      </w:r>
      <w:r w:rsidR="00AB3E8F" w:rsidRPr="00E75B0C">
        <w:rPr>
          <w:rFonts w:ascii="Verdana" w:hAnsi="Verdana"/>
          <w:sz w:val="18"/>
          <w:szCs w:val="18"/>
        </w:rPr>
        <w:t xml:space="preserve">γματικά ταμειακά διαθέσιμα των </w:t>
      </w:r>
      <w:r w:rsidR="00C10434" w:rsidRPr="00E75B0C">
        <w:rPr>
          <w:rFonts w:ascii="Verdana" w:hAnsi="Verdana"/>
          <w:sz w:val="18"/>
          <w:szCs w:val="18"/>
        </w:rPr>
        <w:t xml:space="preserve">νοικοκυριών αυξάνουν, πράγμα που προϋποθέτει οικονομική </w:t>
      </w:r>
      <w:r w:rsidR="00AB3E8F" w:rsidRPr="00E75B0C">
        <w:rPr>
          <w:rFonts w:ascii="Verdana" w:hAnsi="Verdana"/>
          <w:sz w:val="18"/>
          <w:szCs w:val="18"/>
        </w:rPr>
        <w:t>ανάπτυξη</w:t>
      </w:r>
      <w:r w:rsidR="00C10434" w:rsidRPr="00E75B0C">
        <w:rPr>
          <w:rFonts w:ascii="Verdana" w:hAnsi="Verdana"/>
          <w:sz w:val="18"/>
          <w:szCs w:val="18"/>
        </w:rPr>
        <w:t xml:space="preserve">. </w:t>
      </w:r>
    </w:p>
    <w:p w:rsidR="008C1D78" w:rsidRPr="00E75B0C" w:rsidRDefault="008C1D78" w:rsidP="006F48C5">
      <w:pPr>
        <w:rPr>
          <w:rFonts w:ascii="Verdana" w:hAnsi="Verdana"/>
          <w:sz w:val="18"/>
          <w:szCs w:val="18"/>
          <w:u w:val="single"/>
        </w:rPr>
      </w:pPr>
    </w:p>
    <w:p w:rsidR="00C10434" w:rsidRPr="00E75B0C" w:rsidRDefault="00C10434" w:rsidP="006F48C5">
      <w:pPr>
        <w:rPr>
          <w:rFonts w:ascii="Verdana" w:hAnsi="Verdana"/>
          <w:sz w:val="18"/>
          <w:szCs w:val="18"/>
        </w:rPr>
      </w:pPr>
      <w:r w:rsidRPr="00E75B0C">
        <w:rPr>
          <w:rFonts w:ascii="Verdana" w:hAnsi="Verdana"/>
          <w:sz w:val="18"/>
          <w:szCs w:val="18"/>
          <w:u w:val="single"/>
        </w:rPr>
        <w:t>Αυτό</w:t>
      </w:r>
      <w:r w:rsidR="00E50744" w:rsidRPr="00E75B0C">
        <w:rPr>
          <w:rFonts w:ascii="Verdana" w:hAnsi="Verdana"/>
          <w:sz w:val="18"/>
          <w:szCs w:val="18"/>
          <w:u w:val="single"/>
        </w:rPr>
        <w:t xml:space="preserve"> μας φέρνει στο</w:t>
      </w:r>
      <w:r w:rsidR="00FB6BE1" w:rsidRPr="00E75B0C">
        <w:rPr>
          <w:rFonts w:ascii="Verdana" w:hAnsi="Verdana"/>
          <w:sz w:val="18"/>
          <w:szCs w:val="18"/>
          <w:u w:val="single"/>
        </w:rPr>
        <w:t xml:space="preserve"> δεύτερο τρόπο</w:t>
      </w:r>
      <w:r w:rsidR="007772E1" w:rsidRPr="00E75B0C">
        <w:rPr>
          <w:rFonts w:ascii="Verdana" w:hAnsi="Verdana"/>
          <w:sz w:val="18"/>
          <w:szCs w:val="18"/>
          <w:u w:val="single"/>
        </w:rPr>
        <w:t xml:space="preserve"> (επίπτωση στο </w:t>
      </w:r>
      <w:r w:rsidR="00144F1C" w:rsidRPr="00E75B0C">
        <w:rPr>
          <w:rFonts w:ascii="Verdana" w:hAnsi="Verdana"/>
          <w:sz w:val="18"/>
          <w:szCs w:val="18"/>
          <w:u w:val="single"/>
        </w:rPr>
        <w:t>διαθέσιμο εισόδημα)</w:t>
      </w:r>
      <w:r w:rsidR="00B2450D" w:rsidRPr="00E75B0C">
        <w:rPr>
          <w:rFonts w:ascii="Verdana" w:hAnsi="Verdana"/>
          <w:sz w:val="18"/>
          <w:szCs w:val="18"/>
        </w:rPr>
        <w:t>:</w:t>
      </w:r>
    </w:p>
    <w:p w:rsidR="00144F1C" w:rsidRPr="00E75B0C" w:rsidRDefault="00FB6BE1" w:rsidP="006F48C5">
      <w:pPr>
        <w:rPr>
          <w:rFonts w:ascii="Verdana" w:hAnsi="Verdana"/>
          <w:sz w:val="18"/>
          <w:szCs w:val="18"/>
        </w:rPr>
      </w:pPr>
      <w:r w:rsidRPr="00E75B0C">
        <w:rPr>
          <w:rFonts w:ascii="Verdana" w:hAnsi="Verdana"/>
          <w:sz w:val="18"/>
          <w:szCs w:val="18"/>
        </w:rPr>
        <w:t>Εδώ χωρούν</w:t>
      </w:r>
      <w:r w:rsidR="00144F1C" w:rsidRPr="00E75B0C">
        <w:rPr>
          <w:rFonts w:ascii="Verdana" w:hAnsi="Verdana"/>
          <w:sz w:val="18"/>
          <w:szCs w:val="18"/>
        </w:rPr>
        <w:t xml:space="preserve"> 3 προσεγγίσεις: </w:t>
      </w:r>
    </w:p>
    <w:p w:rsidR="00244802" w:rsidRPr="00E75B0C" w:rsidRDefault="00144F1C" w:rsidP="00144F1C">
      <w:pPr>
        <w:pStyle w:val="a3"/>
        <w:numPr>
          <w:ilvl w:val="0"/>
          <w:numId w:val="3"/>
        </w:numPr>
        <w:rPr>
          <w:rFonts w:ascii="Verdana" w:hAnsi="Verdana"/>
          <w:sz w:val="18"/>
          <w:szCs w:val="18"/>
        </w:rPr>
      </w:pPr>
      <w:r w:rsidRPr="00E75B0C">
        <w:rPr>
          <w:rFonts w:ascii="Verdana" w:hAnsi="Verdana"/>
          <w:sz w:val="18"/>
          <w:szCs w:val="18"/>
        </w:rPr>
        <w:t>Κ</w:t>
      </w:r>
      <w:r w:rsidR="003646F8" w:rsidRPr="00E75B0C">
        <w:rPr>
          <w:rFonts w:ascii="Verdana" w:hAnsi="Verdana"/>
          <w:sz w:val="18"/>
          <w:szCs w:val="18"/>
        </w:rPr>
        <w:t>οιτώντας, κατ’ αρχήν, σε διάφορες χώρες, το ποσοστό των φόρων κατοχής στο ΑΕΠ μαζί με το ποσοστό του συνόλου των φόρων στο ΑΕΠ.</w:t>
      </w:r>
      <w:r w:rsidRPr="00E75B0C">
        <w:rPr>
          <w:rFonts w:ascii="Verdana" w:hAnsi="Verdana"/>
          <w:sz w:val="18"/>
          <w:szCs w:val="18"/>
        </w:rPr>
        <w:t xml:space="preserve"> </w:t>
      </w:r>
      <w:r w:rsidR="00AB3E8F" w:rsidRPr="00E75B0C">
        <w:rPr>
          <w:rFonts w:ascii="Verdana" w:hAnsi="Verdana"/>
          <w:sz w:val="18"/>
          <w:szCs w:val="18"/>
        </w:rPr>
        <w:t>Όπου</w:t>
      </w:r>
      <w:r w:rsidRPr="00E75B0C">
        <w:rPr>
          <w:rFonts w:ascii="Verdana" w:hAnsi="Verdana"/>
          <w:sz w:val="18"/>
          <w:szCs w:val="18"/>
        </w:rPr>
        <w:t>, λ.χ., το ποσοστό του συνόλου των φόρων είναι μικρό, μα το ποσοστό των φόρ</w:t>
      </w:r>
      <w:r w:rsidR="007333B7" w:rsidRPr="00E75B0C">
        <w:rPr>
          <w:rFonts w:ascii="Verdana" w:hAnsi="Verdana"/>
          <w:sz w:val="18"/>
          <w:szCs w:val="18"/>
        </w:rPr>
        <w:t xml:space="preserve">ων κατοχής μεγάλο, η </w:t>
      </w:r>
      <w:r w:rsidR="00AB3E8F" w:rsidRPr="00E75B0C">
        <w:rPr>
          <w:rFonts w:ascii="Verdana" w:hAnsi="Verdana"/>
          <w:sz w:val="18"/>
          <w:szCs w:val="18"/>
        </w:rPr>
        <w:t xml:space="preserve">επιβάρυνση των </w:t>
      </w:r>
      <w:r w:rsidRPr="00E75B0C">
        <w:rPr>
          <w:rFonts w:ascii="Verdana" w:hAnsi="Verdana"/>
          <w:sz w:val="18"/>
          <w:szCs w:val="18"/>
        </w:rPr>
        <w:t>νοικοκυριών</w:t>
      </w:r>
      <w:r w:rsidR="007333B7" w:rsidRPr="00E75B0C">
        <w:rPr>
          <w:rFonts w:ascii="Verdana" w:hAnsi="Verdana"/>
          <w:sz w:val="18"/>
          <w:szCs w:val="18"/>
        </w:rPr>
        <w:t xml:space="preserve"> από φόρους κατοχής,</w:t>
      </w:r>
      <w:r w:rsidRPr="00E75B0C">
        <w:rPr>
          <w:rFonts w:ascii="Verdana" w:hAnsi="Verdana"/>
          <w:sz w:val="18"/>
          <w:szCs w:val="18"/>
        </w:rPr>
        <w:t xml:space="preserve"> σε </w:t>
      </w:r>
      <w:r w:rsidR="00AB3E8F" w:rsidRPr="00E75B0C">
        <w:rPr>
          <w:rFonts w:ascii="Verdana" w:hAnsi="Verdana"/>
          <w:sz w:val="18"/>
          <w:szCs w:val="18"/>
        </w:rPr>
        <w:t>σχέση</w:t>
      </w:r>
      <w:r w:rsidRPr="00E75B0C">
        <w:rPr>
          <w:rFonts w:ascii="Verdana" w:hAnsi="Verdana"/>
          <w:sz w:val="18"/>
          <w:szCs w:val="18"/>
        </w:rPr>
        <w:t xml:space="preserve"> με το εισόδημα</w:t>
      </w:r>
      <w:r w:rsidR="007333B7" w:rsidRPr="00E75B0C">
        <w:rPr>
          <w:rFonts w:ascii="Verdana" w:hAnsi="Verdana"/>
          <w:sz w:val="18"/>
          <w:szCs w:val="18"/>
        </w:rPr>
        <w:t>,</w:t>
      </w:r>
      <w:r w:rsidRPr="00E75B0C">
        <w:rPr>
          <w:rFonts w:ascii="Verdana" w:hAnsi="Verdana"/>
          <w:sz w:val="18"/>
          <w:szCs w:val="18"/>
        </w:rPr>
        <w:t xml:space="preserve"> είναι μικρή.</w:t>
      </w:r>
    </w:p>
    <w:p w:rsidR="008A797D" w:rsidRPr="00E75B0C" w:rsidRDefault="008A797D" w:rsidP="008A797D">
      <w:pPr>
        <w:pStyle w:val="a3"/>
        <w:ind w:left="1080"/>
        <w:rPr>
          <w:rFonts w:ascii="Verdana" w:hAnsi="Verdana"/>
          <w:sz w:val="18"/>
          <w:szCs w:val="18"/>
        </w:rPr>
      </w:pPr>
    </w:p>
    <w:p w:rsidR="00144F1C" w:rsidRPr="00E75B0C" w:rsidRDefault="00144F1C" w:rsidP="00144F1C">
      <w:pPr>
        <w:pStyle w:val="a3"/>
        <w:numPr>
          <w:ilvl w:val="0"/>
          <w:numId w:val="3"/>
        </w:numPr>
        <w:rPr>
          <w:rFonts w:ascii="Verdana" w:hAnsi="Verdana"/>
          <w:sz w:val="18"/>
          <w:szCs w:val="18"/>
        </w:rPr>
      </w:pPr>
      <w:r w:rsidRPr="00E75B0C">
        <w:rPr>
          <w:rFonts w:ascii="Verdana" w:hAnsi="Verdana"/>
          <w:sz w:val="18"/>
          <w:szCs w:val="18"/>
        </w:rPr>
        <w:t xml:space="preserve">Εξετάζοντας το διαθέσιμο εισόδημα (στο ίδιο νόμισμα, </w:t>
      </w:r>
      <w:r w:rsidR="006D58BA" w:rsidRPr="00E75B0C">
        <w:rPr>
          <w:rFonts w:ascii="Verdana" w:hAnsi="Verdana"/>
          <w:sz w:val="18"/>
          <w:szCs w:val="18"/>
        </w:rPr>
        <w:t xml:space="preserve">σε όρους αγοραστικής δυνάμεως – </w:t>
      </w:r>
      <w:r w:rsidR="006D58BA" w:rsidRPr="00E75B0C">
        <w:rPr>
          <w:rFonts w:ascii="Verdana" w:hAnsi="Verdana"/>
          <w:sz w:val="18"/>
          <w:szCs w:val="18"/>
          <w:lang w:val="en-US"/>
        </w:rPr>
        <w:t>purchasing</w:t>
      </w:r>
      <w:r w:rsidR="006D58BA" w:rsidRPr="00E75B0C">
        <w:rPr>
          <w:rFonts w:ascii="Verdana" w:hAnsi="Verdana"/>
          <w:sz w:val="18"/>
          <w:szCs w:val="18"/>
        </w:rPr>
        <w:t xml:space="preserve"> </w:t>
      </w:r>
      <w:r w:rsidR="006D58BA" w:rsidRPr="00E75B0C">
        <w:rPr>
          <w:rFonts w:ascii="Verdana" w:hAnsi="Verdana"/>
          <w:sz w:val="18"/>
          <w:szCs w:val="18"/>
          <w:lang w:val="en-US"/>
        </w:rPr>
        <w:t>power</w:t>
      </w:r>
      <w:r w:rsidR="006D58BA" w:rsidRPr="00E75B0C">
        <w:rPr>
          <w:rFonts w:ascii="Verdana" w:hAnsi="Verdana"/>
          <w:sz w:val="18"/>
          <w:szCs w:val="18"/>
        </w:rPr>
        <w:t xml:space="preserve"> </w:t>
      </w:r>
      <w:r w:rsidR="006D58BA" w:rsidRPr="00E75B0C">
        <w:rPr>
          <w:rFonts w:ascii="Verdana" w:hAnsi="Verdana"/>
          <w:sz w:val="18"/>
          <w:szCs w:val="18"/>
          <w:lang w:val="en-US"/>
        </w:rPr>
        <w:t>parity</w:t>
      </w:r>
      <w:r w:rsidR="006D58BA" w:rsidRPr="00E75B0C">
        <w:rPr>
          <w:rFonts w:ascii="Verdana" w:hAnsi="Verdana"/>
          <w:sz w:val="18"/>
          <w:szCs w:val="18"/>
        </w:rPr>
        <w:t>)</w:t>
      </w:r>
      <w:r w:rsidR="00DB0BD2" w:rsidRPr="00E75B0C">
        <w:rPr>
          <w:rFonts w:ascii="Verdana" w:hAnsi="Verdana"/>
          <w:sz w:val="18"/>
          <w:szCs w:val="18"/>
        </w:rPr>
        <w:t xml:space="preserve">, που μένει στα </w:t>
      </w:r>
      <w:r w:rsidR="006D58BA" w:rsidRPr="00E75B0C">
        <w:rPr>
          <w:rFonts w:ascii="Verdana" w:hAnsi="Verdana"/>
          <w:sz w:val="18"/>
          <w:szCs w:val="18"/>
        </w:rPr>
        <w:t>νοικοκυριά μετά την πληρωμή όλων των φόρων.</w:t>
      </w:r>
    </w:p>
    <w:p w:rsidR="008A797D" w:rsidRPr="00E75B0C" w:rsidRDefault="008A797D" w:rsidP="008A797D">
      <w:pPr>
        <w:pStyle w:val="a3"/>
        <w:rPr>
          <w:rFonts w:ascii="Verdana" w:hAnsi="Verdana"/>
          <w:sz w:val="18"/>
          <w:szCs w:val="18"/>
        </w:rPr>
      </w:pPr>
    </w:p>
    <w:p w:rsidR="006D58BA" w:rsidRPr="00E75B0C" w:rsidRDefault="00A06053" w:rsidP="001A5DAA">
      <w:pPr>
        <w:pStyle w:val="a3"/>
        <w:numPr>
          <w:ilvl w:val="0"/>
          <w:numId w:val="3"/>
        </w:numPr>
        <w:spacing w:line="240" w:lineRule="auto"/>
        <w:rPr>
          <w:rFonts w:ascii="Verdana" w:hAnsi="Verdana"/>
          <w:sz w:val="18"/>
          <w:szCs w:val="18"/>
        </w:rPr>
      </w:pPr>
      <w:r w:rsidRPr="00E75B0C">
        <w:rPr>
          <w:rFonts w:ascii="Verdana" w:hAnsi="Verdana"/>
          <w:sz w:val="18"/>
          <w:szCs w:val="18"/>
        </w:rPr>
        <w:t>Παίρνοντας υπ’ όψιν το μέγεθος</w:t>
      </w:r>
      <w:r w:rsidR="006D58BA" w:rsidRPr="00E75B0C">
        <w:rPr>
          <w:rFonts w:ascii="Verdana" w:hAnsi="Verdana"/>
          <w:sz w:val="18"/>
          <w:szCs w:val="18"/>
        </w:rPr>
        <w:t xml:space="preserve"> της παραοικονομίας (δηλ. μη δηλουμένων και</w:t>
      </w:r>
      <w:r w:rsidRPr="00E75B0C">
        <w:rPr>
          <w:rFonts w:ascii="Verdana" w:hAnsi="Verdana"/>
          <w:sz w:val="18"/>
          <w:szCs w:val="18"/>
        </w:rPr>
        <w:t xml:space="preserve"> μη φορολογουμένων εισοδημάτων) και των κατανομών εισοδήματος και ιδιοκτησίας ακινήτων. </w:t>
      </w:r>
    </w:p>
    <w:p w:rsidR="008C1D78" w:rsidRPr="00E75B0C" w:rsidRDefault="008C1D78" w:rsidP="006D58BA">
      <w:pPr>
        <w:spacing w:line="240" w:lineRule="auto"/>
        <w:rPr>
          <w:rFonts w:ascii="Verdana" w:hAnsi="Verdana"/>
          <w:b/>
          <w:sz w:val="18"/>
          <w:szCs w:val="18"/>
        </w:rPr>
      </w:pPr>
    </w:p>
    <w:p w:rsidR="006D58BA" w:rsidRPr="00E75B0C" w:rsidRDefault="006D58BA" w:rsidP="006D58BA">
      <w:pPr>
        <w:spacing w:line="240" w:lineRule="auto"/>
        <w:rPr>
          <w:rFonts w:ascii="Verdana" w:hAnsi="Verdana"/>
          <w:b/>
          <w:sz w:val="18"/>
          <w:szCs w:val="18"/>
        </w:rPr>
      </w:pPr>
      <w:r w:rsidRPr="00E75B0C">
        <w:rPr>
          <w:rFonts w:ascii="Verdana" w:hAnsi="Verdana"/>
          <w:b/>
          <w:sz w:val="18"/>
          <w:szCs w:val="18"/>
        </w:rPr>
        <w:t xml:space="preserve">Πρώτη προσέγγιση: Φόροι ως % του ΑΕΠ. </w:t>
      </w:r>
    </w:p>
    <w:p w:rsidR="003646F8" w:rsidRPr="00E75B0C" w:rsidRDefault="00144F1C" w:rsidP="006D58BA">
      <w:pPr>
        <w:spacing w:line="240" w:lineRule="auto"/>
        <w:rPr>
          <w:rFonts w:ascii="Verdana" w:hAnsi="Verdana"/>
          <w:sz w:val="18"/>
          <w:szCs w:val="18"/>
        </w:rPr>
      </w:pPr>
      <w:r w:rsidRPr="00E75B0C">
        <w:rPr>
          <w:rFonts w:ascii="Verdana" w:hAnsi="Verdana"/>
          <w:sz w:val="18"/>
          <w:szCs w:val="18"/>
        </w:rPr>
        <w:t xml:space="preserve">Πίν. 1. </w:t>
      </w:r>
    </w:p>
    <w:p w:rsidR="00144F1C" w:rsidRPr="00E75B0C" w:rsidRDefault="00144F1C" w:rsidP="001A5DAA">
      <w:pPr>
        <w:spacing w:line="240" w:lineRule="auto"/>
        <w:rPr>
          <w:rFonts w:ascii="Verdana" w:hAnsi="Verdana"/>
          <w:sz w:val="18"/>
          <w:szCs w:val="18"/>
        </w:rPr>
      </w:pPr>
    </w:p>
    <w:p w:rsidR="00144F1C" w:rsidRPr="00E75B0C" w:rsidRDefault="00144F1C" w:rsidP="001A5DAA">
      <w:pPr>
        <w:spacing w:line="240" w:lineRule="auto"/>
        <w:rPr>
          <w:rFonts w:ascii="Verdana" w:hAnsi="Verdana"/>
          <w:sz w:val="18"/>
          <w:szCs w:val="18"/>
        </w:rPr>
      </w:pPr>
    </w:p>
    <w:p w:rsidR="001A5DAA" w:rsidRPr="00E75B0C" w:rsidRDefault="001A5DAA">
      <w:pPr>
        <w:rPr>
          <w:rFonts w:ascii="Verdana" w:hAnsi="Verdana"/>
          <w:sz w:val="18"/>
          <w:szCs w:val="18"/>
        </w:rPr>
      </w:pPr>
      <w:r w:rsidRPr="00E75B0C">
        <w:rPr>
          <w:rFonts w:ascii="Verdana" w:hAnsi="Verdana"/>
          <w:sz w:val="18"/>
          <w:szCs w:val="18"/>
        </w:rPr>
        <w:br w:type="page"/>
      </w:r>
    </w:p>
    <w:p w:rsidR="00A114CA" w:rsidRPr="00E75B0C" w:rsidRDefault="00A114CA" w:rsidP="00144F1C">
      <w:pPr>
        <w:spacing w:after="0" w:line="240" w:lineRule="auto"/>
        <w:jc w:val="center"/>
        <w:rPr>
          <w:rFonts w:ascii="Verdana" w:eastAsia="Times New Roman" w:hAnsi="Verdana" w:cs="Times New Roman"/>
          <w:color w:val="000000"/>
          <w:sz w:val="18"/>
          <w:szCs w:val="18"/>
          <w:lang w:eastAsia="el-GR"/>
        </w:rPr>
        <w:sectPr w:rsidR="00A114CA" w:rsidRPr="00E75B0C" w:rsidSect="00E75B0C">
          <w:headerReference w:type="default" r:id="rId23"/>
          <w:footerReference w:type="default" r:id="rId24"/>
          <w:type w:val="nextColumn"/>
          <w:pgSz w:w="11906" w:h="16838"/>
          <w:pgMar w:top="1440" w:right="1133" w:bottom="1440" w:left="709" w:header="709" w:footer="709" w:gutter="0"/>
          <w:cols w:space="708"/>
          <w:docGrid w:linePitch="360"/>
        </w:sectPr>
      </w:pPr>
    </w:p>
    <w:tbl>
      <w:tblPr>
        <w:tblW w:w="13360" w:type="dxa"/>
        <w:tblInd w:w="108" w:type="dxa"/>
        <w:tblLook w:val="04A0" w:firstRow="1" w:lastRow="0" w:firstColumn="1" w:lastColumn="0" w:noHBand="0" w:noVBand="1"/>
      </w:tblPr>
      <w:tblGrid>
        <w:gridCol w:w="1259"/>
        <w:gridCol w:w="1074"/>
        <w:gridCol w:w="1744"/>
        <w:gridCol w:w="1610"/>
        <w:gridCol w:w="1588"/>
        <w:gridCol w:w="1610"/>
        <w:gridCol w:w="1990"/>
        <w:gridCol w:w="2527"/>
        <w:gridCol w:w="222"/>
      </w:tblGrid>
      <w:tr w:rsidR="00F142FA" w:rsidRPr="00E75B0C" w:rsidTr="00F142FA">
        <w:trPr>
          <w:trHeight w:val="675"/>
        </w:trPr>
        <w:tc>
          <w:tcPr>
            <w:tcW w:w="13360" w:type="dxa"/>
            <w:gridSpan w:val="9"/>
            <w:tcBorders>
              <w:top w:val="nil"/>
              <w:left w:val="nil"/>
              <w:bottom w:val="nil"/>
              <w:right w:val="nil"/>
            </w:tcBorders>
            <w:shd w:val="clear" w:color="auto" w:fill="auto"/>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lastRenderedPageBreak/>
              <w:t>Πίν. 1: Ποσοστά φόρων και φόρων ακινήτων στο ΑΕΠ, 2011. Διαθέσιμο εισόδημα &amp; καθα</w:t>
            </w:r>
            <w:r w:rsidR="00AB3E8F" w:rsidRPr="00E75B0C">
              <w:rPr>
                <w:rFonts w:ascii="Verdana" w:eastAsia="Times New Roman" w:hAnsi="Verdana" w:cs="Times New Roman"/>
                <w:color w:val="000000"/>
                <w:sz w:val="18"/>
                <w:szCs w:val="18"/>
                <w:lang w:eastAsia="el-GR"/>
              </w:rPr>
              <w:t xml:space="preserve">ρός χρηματοοικονομικός πλούτος </w:t>
            </w:r>
            <w:r w:rsidRPr="00E75B0C">
              <w:rPr>
                <w:rFonts w:ascii="Verdana" w:eastAsia="Times New Roman" w:hAnsi="Verdana" w:cs="Times New Roman"/>
                <w:color w:val="000000"/>
                <w:sz w:val="18"/>
                <w:szCs w:val="18"/>
                <w:lang w:eastAsia="el-GR"/>
              </w:rPr>
              <w:t>νοικοκυριών, 2011</w:t>
            </w:r>
            <w:r w:rsidR="00526C4C" w:rsidRPr="00E75B0C">
              <w:rPr>
                <w:rFonts w:ascii="Verdana" w:eastAsia="Times New Roman" w:hAnsi="Verdana" w:cs="Times New Roman"/>
                <w:color w:val="000000"/>
                <w:sz w:val="18"/>
                <w:szCs w:val="18"/>
                <w:lang w:eastAsia="el-GR"/>
              </w:rPr>
              <w:t>. (Κατάταξη χωρών βάσει διαθεσίμου εισοδήματος.)</w:t>
            </w: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99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1185"/>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074"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φόρων στο ΑΕΠ</w:t>
            </w:r>
          </w:p>
        </w:tc>
        <w:tc>
          <w:tcPr>
            <w:tcW w:w="1744"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φόρων ακινήτων στο ΑΕΠ</w:t>
            </w:r>
          </w:p>
        </w:tc>
        <w:tc>
          <w:tcPr>
            <w:tcW w:w="1610"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Αντίστοιχο % επί συνόλου φόρων</w:t>
            </w:r>
          </w:p>
        </w:tc>
        <w:tc>
          <w:tcPr>
            <w:tcW w:w="1588"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φόρων κατοχής στο ΑΕΠ</w:t>
            </w:r>
          </w:p>
        </w:tc>
        <w:tc>
          <w:tcPr>
            <w:tcW w:w="1610"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Αντίστοιχο % επί συνόλου φόρων</w:t>
            </w:r>
          </w:p>
        </w:tc>
        <w:tc>
          <w:tcPr>
            <w:tcW w:w="1990" w:type="dxa"/>
            <w:tcBorders>
              <w:top w:val="nil"/>
              <w:left w:val="single" w:sz="4" w:space="0" w:color="auto"/>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xml:space="preserve">Διαθέσιμο εισόδημα </w:t>
            </w:r>
            <w:r w:rsidR="00AB3E8F" w:rsidRPr="00E75B0C">
              <w:rPr>
                <w:rFonts w:ascii="Verdana" w:eastAsia="Times New Roman" w:hAnsi="Verdana" w:cs="Times New Roman"/>
                <w:color w:val="000000"/>
                <w:sz w:val="18"/>
                <w:szCs w:val="18"/>
                <w:lang w:eastAsia="el-GR"/>
              </w:rPr>
              <w:t>νοικοκυριών</w:t>
            </w:r>
            <w:r w:rsidRPr="00E75B0C">
              <w:rPr>
                <w:rFonts w:ascii="Verdana" w:eastAsia="Times New Roman" w:hAnsi="Verdana" w:cs="Times New Roman"/>
                <w:color w:val="000000"/>
                <w:sz w:val="18"/>
                <w:szCs w:val="18"/>
                <w:lang w:eastAsia="el-GR"/>
              </w:rPr>
              <w:t xml:space="preserve"> (σε US$ και PPP)</w:t>
            </w:r>
          </w:p>
        </w:tc>
        <w:tc>
          <w:tcPr>
            <w:tcW w:w="2527"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Καθα</w:t>
            </w:r>
            <w:r w:rsidR="00AB3E8F" w:rsidRPr="00E75B0C">
              <w:rPr>
                <w:rFonts w:ascii="Verdana" w:eastAsia="Times New Roman" w:hAnsi="Verdana" w:cs="Times New Roman"/>
                <w:color w:val="000000"/>
                <w:sz w:val="18"/>
                <w:szCs w:val="18"/>
                <w:lang w:eastAsia="el-GR"/>
              </w:rPr>
              <w:t xml:space="preserve">ρός χρηματοοικονομικός πλούτος </w:t>
            </w:r>
            <w:r w:rsidRPr="00E75B0C">
              <w:rPr>
                <w:rFonts w:ascii="Verdana" w:eastAsia="Times New Roman" w:hAnsi="Verdana" w:cs="Times New Roman"/>
                <w:color w:val="000000"/>
                <w:sz w:val="18"/>
                <w:szCs w:val="18"/>
                <w:lang w:eastAsia="el-GR"/>
              </w:rPr>
              <w:t>νοικοκυριών (σε US$ και PPP)</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42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7626" w:type="dxa"/>
            <w:gridSpan w:val="5"/>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2011</w:t>
            </w:r>
          </w:p>
        </w:tc>
        <w:tc>
          <w:tcPr>
            <w:tcW w:w="4517" w:type="dxa"/>
            <w:gridSpan w:val="2"/>
            <w:tcBorders>
              <w:top w:val="nil"/>
              <w:left w:val="single" w:sz="4" w:space="0" w:color="auto"/>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2011</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45"/>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074"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744"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588"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vAlign w:val="center"/>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990" w:type="dxa"/>
            <w:tcBorders>
              <w:top w:val="nil"/>
              <w:left w:val="single" w:sz="4" w:space="0" w:color="auto"/>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w:t>
            </w: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ΗΠΑ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24.0%</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3.0%</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12.5%</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2.9%</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12.1%</w:t>
            </w:r>
          </w:p>
        </w:tc>
        <w:tc>
          <w:tcPr>
            <w:tcW w:w="1990" w:type="dxa"/>
            <w:tcBorders>
              <w:top w:val="single" w:sz="4" w:space="0" w:color="C0C0C0"/>
              <w:left w:val="single" w:sz="4" w:space="0" w:color="auto"/>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39,531</w:t>
            </w:r>
          </w:p>
        </w:tc>
        <w:tc>
          <w:tcPr>
            <w:tcW w:w="2527" w:type="dxa"/>
            <w:tcBorders>
              <w:top w:val="single" w:sz="4" w:space="0" w:color="C0C0C0"/>
              <w:left w:val="nil"/>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132,822</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Αυστραλία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26.5%</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2.3%</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8.7%</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1.4%</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5.3%</w:t>
            </w:r>
          </w:p>
        </w:tc>
        <w:tc>
          <w:tcPr>
            <w:tcW w:w="1990" w:type="dxa"/>
            <w:tcBorders>
              <w:top w:val="nil"/>
              <w:left w:val="single" w:sz="4" w:space="0" w:color="auto"/>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31,197</w:t>
            </w:r>
          </w:p>
        </w:tc>
        <w:tc>
          <w:tcPr>
            <w:tcW w:w="2527" w:type="dxa"/>
            <w:tcBorders>
              <w:top w:val="nil"/>
              <w:left w:val="nil"/>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38,482</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Γερμανία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36.9%</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0.9%</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2.4%</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0.4%</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w:t>
            </w:r>
          </w:p>
        </w:tc>
        <w:tc>
          <w:tcPr>
            <w:tcW w:w="1990" w:type="dxa"/>
            <w:tcBorders>
              <w:top w:val="nil"/>
              <w:left w:val="single" w:sz="4" w:space="0" w:color="auto"/>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30,721</w:t>
            </w:r>
          </w:p>
        </w:tc>
        <w:tc>
          <w:tcPr>
            <w:tcW w:w="2527" w:type="dxa"/>
            <w:tcBorders>
              <w:top w:val="nil"/>
              <w:left w:val="nil"/>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49,484</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Καναδάς</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30.4%</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3.3%</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10.9%</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2.9%</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9.5%</w:t>
            </w:r>
          </w:p>
        </w:tc>
        <w:tc>
          <w:tcPr>
            <w:tcW w:w="1990" w:type="dxa"/>
            <w:tcBorders>
              <w:top w:val="nil"/>
              <w:left w:val="single" w:sz="4" w:space="0" w:color="auto"/>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30,212</w:t>
            </w:r>
          </w:p>
        </w:tc>
        <w:tc>
          <w:tcPr>
            <w:tcW w:w="2527" w:type="dxa"/>
            <w:tcBorders>
              <w:top w:val="nil"/>
              <w:left w:val="nil"/>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63,261</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Γαλλία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44.1%</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3.7%</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8.4%</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2.5%</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5.7%</w:t>
            </w:r>
          </w:p>
        </w:tc>
        <w:tc>
          <w:tcPr>
            <w:tcW w:w="1990" w:type="dxa"/>
            <w:tcBorders>
              <w:top w:val="nil"/>
              <w:left w:val="single" w:sz="4" w:space="0" w:color="auto"/>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29,322</w:t>
            </w:r>
          </w:p>
        </w:tc>
        <w:tc>
          <w:tcPr>
            <w:tcW w:w="2527" w:type="dxa"/>
            <w:tcBorders>
              <w:top w:val="nil"/>
              <w:left w:val="nil"/>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47,668</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Σουηδία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44.2%</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1.0%</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2.3%</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0.8%</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1.8%</w:t>
            </w:r>
          </w:p>
        </w:tc>
        <w:tc>
          <w:tcPr>
            <w:tcW w:w="1990" w:type="dxa"/>
            <w:tcBorders>
              <w:top w:val="nil"/>
              <w:left w:val="single" w:sz="4" w:space="0" w:color="auto"/>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27,546</w:t>
            </w:r>
          </w:p>
        </w:tc>
        <w:tc>
          <w:tcPr>
            <w:tcW w:w="2527" w:type="dxa"/>
            <w:tcBorders>
              <w:top w:val="nil"/>
              <w:left w:val="nil"/>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55,301</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xml:space="preserve">Ην. </w:t>
            </w:r>
            <w:proofErr w:type="spellStart"/>
            <w:r w:rsidRPr="00E75B0C">
              <w:rPr>
                <w:rFonts w:ascii="Verdana" w:eastAsia="Times New Roman" w:hAnsi="Verdana" w:cs="Times New Roman"/>
                <w:color w:val="000000"/>
                <w:sz w:val="18"/>
                <w:szCs w:val="18"/>
                <w:lang w:eastAsia="el-GR"/>
              </w:rPr>
              <w:t>Βασ</w:t>
            </w:r>
            <w:proofErr w:type="spellEnd"/>
            <w:r w:rsidRPr="00E75B0C">
              <w:rPr>
                <w:rFonts w:ascii="Verdana" w:eastAsia="Times New Roman" w:hAnsi="Verdana" w:cs="Times New Roman"/>
                <w:color w:val="000000"/>
                <w:sz w:val="18"/>
                <w:szCs w:val="18"/>
                <w:lang w:eastAsia="el-GR"/>
              </w:rPr>
              <w:t>.</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35.7%</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4.2%</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11.8%</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3.4%</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9.5%</w:t>
            </w:r>
          </w:p>
        </w:tc>
        <w:tc>
          <w:tcPr>
            <w:tcW w:w="1990" w:type="dxa"/>
            <w:tcBorders>
              <w:top w:val="nil"/>
              <w:left w:val="single" w:sz="4" w:space="0" w:color="auto"/>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25,828</w:t>
            </w:r>
          </w:p>
        </w:tc>
        <w:tc>
          <w:tcPr>
            <w:tcW w:w="2527" w:type="dxa"/>
            <w:tcBorders>
              <w:top w:val="nil"/>
              <w:left w:val="nil"/>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60,065</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Ιταλία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43.0%</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2.2%</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5.1%</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0.6%</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1.4%</w:t>
            </w:r>
          </w:p>
        </w:tc>
        <w:tc>
          <w:tcPr>
            <w:tcW w:w="1990" w:type="dxa"/>
            <w:tcBorders>
              <w:top w:val="nil"/>
              <w:left w:val="single" w:sz="4" w:space="0" w:color="auto"/>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24,724</w:t>
            </w:r>
          </w:p>
        </w:tc>
        <w:tc>
          <w:tcPr>
            <w:tcW w:w="2527" w:type="dxa"/>
            <w:tcBorders>
              <w:top w:val="nil"/>
              <w:left w:val="nil"/>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54,147</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ΟΟΣΑ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34.1%</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1.8%</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5.3%</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3.2%</w:t>
            </w:r>
          </w:p>
        </w:tc>
        <w:tc>
          <w:tcPr>
            <w:tcW w:w="1990" w:type="dxa"/>
            <w:tcBorders>
              <w:top w:val="nil"/>
              <w:left w:val="single" w:sz="4" w:space="0" w:color="auto"/>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23,938</w:t>
            </w:r>
          </w:p>
        </w:tc>
        <w:tc>
          <w:tcPr>
            <w:tcW w:w="2527" w:type="dxa"/>
            <w:tcBorders>
              <w:top w:val="nil"/>
              <w:left w:val="nil"/>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42,903</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Ισπανία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32.2%</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1.9%</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5.9%</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0.9%</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2.8%</w:t>
            </w:r>
          </w:p>
        </w:tc>
        <w:tc>
          <w:tcPr>
            <w:tcW w:w="1990" w:type="dxa"/>
            <w:tcBorders>
              <w:top w:val="nil"/>
              <w:left w:val="single" w:sz="4" w:space="0" w:color="auto"/>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22,799</w:t>
            </w:r>
          </w:p>
        </w:tc>
        <w:tc>
          <w:tcPr>
            <w:tcW w:w="2527" w:type="dxa"/>
            <w:tcBorders>
              <w:top w:val="nil"/>
              <w:left w:val="nil"/>
              <w:bottom w:val="single" w:sz="4" w:space="0" w:color="C0C0C0"/>
              <w:right w:val="single" w:sz="4" w:space="0" w:color="C0C0C0"/>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23,920</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B672FE"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Ελλάδα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32.2%</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1.8%</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5.6%</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0.9%</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2.8%</w:t>
            </w:r>
          </w:p>
        </w:tc>
        <w:tc>
          <w:tcPr>
            <w:tcW w:w="1990" w:type="dxa"/>
            <w:tcBorders>
              <w:top w:val="nil"/>
              <w:left w:val="single" w:sz="4" w:space="0" w:color="auto"/>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19,095</w:t>
            </w:r>
          </w:p>
        </w:tc>
        <w:tc>
          <w:tcPr>
            <w:tcW w:w="2527" w:type="dxa"/>
            <w:tcBorders>
              <w:top w:val="nil"/>
              <w:left w:val="nil"/>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14,004</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Πορτογαλία</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33.0%</w:t>
            </w: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1.0%</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3.0%</w:t>
            </w: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0.7%</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2.1%</w:t>
            </w:r>
          </w:p>
        </w:tc>
        <w:tc>
          <w:tcPr>
            <w:tcW w:w="1990" w:type="dxa"/>
            <w:tcBorders>
              <w:top w:val="nil"/>
              <w:left w:val="single" w:sz="4" w:space="0" w:color="auto"/>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18,806</w:t>
            </w:r>
          </w:p>
        </w:tc>
        <w:tc>
          <w:tcPr>
            <w:tcW w:w="2527" w:type="dxa"/>
            <w:tcBorders>
              <w:top w:val="nil"/>
              <w:left w:val="nil"/>
              <w:bottom w:val="single" w:sz="4" w:space="0" w:color="C0C0C0"/>
              <w:right w:val="single" w:sz="4" w:space="0" w:color="C0C0C0"/>
            </w:tcBorders>
            <w:shd w:val="clear" w:color="000000" w:fill="F0F8FF"/>
            <w:noWrap/>
            <w:vAlign w:val="bottom"/>
            <w:hideMark/>
          </w:tcPr>
          <w:p w:rsidR="00F142FA" w:rsidRPr="00E75B0C" w:rsidRDefault="00F142FA" w:rsidP="00F142FA">
            <w:pPr>
              <w:spacing w:after="0" w:line="240" w:lineRule="auto"/>
              <w:jc w:val="center"/>
              <w:rPr>
                <w:rFonts w:ascii="Verdana" w:eastAsia="Times New Roman" w:hAnsi="Verdana" w:cs="Arial"/>
                <w:sz w:val="18"/>
                <w:szCs w:val="18"/>
                <w:lang w:eastAsia="el-GR"/>
              </w:rPr>
            </w:pPr>
            <w:r w:rsidRPr="00E75B0C">
              <w:rPr>
                <w:rFonts w:ascii="Verdana" w:eastAsia="Times New Roman" w:hAnsi="Verdana" w:cs="Arial"/>
                <w:sz w:val="18"/>
                <w:szCs w:val="18"/>
                <w:lang w:eastAsia="el-GR"/>
              </w:rPr>
              <w:t>29,640</w:t>
            </w: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99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Πηγές:</w:t>
            </w:r>
          </w:p>
        </w:tc>
        <w:tc>
          <w:tcPr>
            <w:tcW w:w="107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744"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588"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99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(α) ΟΟΣΑ</w:t>
            </w:r>
          </w:p>
        </w:tc>
        <w:tc>
          <w:tcPr>
            <w:tcW w:w="6016" w:type="dxa"/>
            <w:gridSpan w:val="4"/>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http://stats.oecd.org/Index.aspx?DataSetCode=REV</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99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(β) ΟΟΣΑ</w:t>
            </w:r>
          </w:p>
        </w:tc>
        <w:tc>
          <w:tcPr>
            <w:tcW w:w="6016" w:type="dxa"/>
            <w:gridSpan w:val="4"/>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http://stats.oecd.org/Index.aspx?DataSetCode=BLI</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99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r w:rsidR="00F142FA" w:rsidRPr="00E75B0C" w:rsidTr="00F142FA">
        <w:trPr>
          <w:trHeight w:val="300"/>
        </w:trPr>
        <w:tc>
          <w:tcPr>
            <w:tcW w:w="1205"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(γ) ΟΟΣΑ</w:t>
            </w:r>
          </w:p>
        </w:tc>
        <w:tc>
          <w:tcPr>
            <w:tcW w:w="6016" w:type="dxa"/>
            <w:gridSpan w:val="4"/>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http://www.oecdbetterlifeindex.org/topics/income/</w:t>
            </w:r>
          </w:p>
        </w:tc>
        <w:tc>
          <w:tcPr>
            <w:tcW w:w="161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c>
          <w:tcPr>
            <w:tcW w:w="1990"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2527"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center"/>
              <w:rPr>
                <w:rFonts w:ascii="Verdana" w:eastAsia="Times New Roman" w:hAnsi="Verdana" w:cs="Times New Roman"/>
                <w:color w:val="000000"/>
                <w:sz w:val="18"/>
                <w:szCs w:val="18"/>
                <w:lang w:eastAsia="el-GR"/>
              </w:rPr>
            </w:pPr>
          </w:p>
        </w:tc>
        <w:tc>
          <w:tcPr>
            <w:tcW w:w="12" w:type="dxa"/>
            <w:tcBorders>
              <w:top w:val="nil"/>
              <w:left w:val="nil"/>
              <w:bottom w:val="nil"/>
              <w:right w:val="nil"/>
            </w:tcBorders>
            <w:shd w:val="clear" w:color="auto" w:fill="auto"/>
            <w:noWrap/>
            <w:vAlign w:val="bottom"/>
            <w:hideMark/>
          </w:tcPr>
          <w:p w:rsidR="00F142FA" w:rsidRPr="00E75B0C" w:rsidRDefault="00F142FA" w:rsidP="00F142FA">
            <w:pPr>
              <w:spacing w:after="0" w:line="240" w:lineRule="auto"/>
              <w:jc w:val="left"/>
              <w:rPr>
                <w:rFonts w:ascii="Verdana" w:eastAsia="Times New Roman" w:hAnsi="Verdana" w:cs="Times New Roman"/>
                <w:color w:val="000000"/>
                <w:sz w:val="18"/>
                <w:szCs w:val="18"/>
                <w:lang w:eastAsia="el-GR"/>
              </w:rPr>
            </w:pPr>
          </w:p>
        </w:tc>
      </w:tr>
    </w:tbl>
    <w:p w:rsidR="00A114CA" w:rsidRPr="00E75B0C" w:rsidRDefault="00A114CA" w:rsidP="006D58BA">
      <w:pPr>
        <w:spacing w:line="240" w:lineRule="auto"/>
        <w:rPr>
          <w:rFonts w:ascii="Verdana" w:hAnsi="Verdana"/>
          <w:sz w:val="18"/>
          <w:szCs w:val="18"/>
        </w:rPr>
        <w:sectPr w:rsidR="00A114CA" w:rsidRPr="00E75B0C" w:rsidSect="00A114CA">
          <w:pgSz w:w="16838" w:h="11906" w:orient="landscape"/>
          <w:pgMar w:top="1797" w:right="1440" w:bottom="1797" w:left="1440" w:header="709" w:footer="709" w:gutter="0"/>
          <w:cols w:space="708"/>
          <w:docGrid w:linePitch="360"/>
        </w:sectPr>
      </w:pPr>
    </w:p>
    <w:p w:rsidR="001A5DAA" w:rsidRPr="00E75B0C" w:rsidRDefault="006D58BA" w:rsidP="001A5DAA">
      <w:pPr>
        <w:spacing w:line="240" w:lineRule="auto"/>
        <w:rPr>
          <w:rFonts w:ascii="Verdana" w:hAnsi="Verdana"/>
          <w:sz w:val="18"/>
          <w:szCs w:val="18"/>
        </w:rPr>
      </w:pPr>
      <w:r w:rsidRPr="00E75B0C">
        <w:rPr>
          <w:rFonts w:ascii="Verdana" w:hAnsi="Verdana"/>
          <w:sz w:val="18"/>
          <w:szCs w:val="18"/>
        </w:rPr>
        <w:lastRenderedPageBreak/>
        <w:t>Απ’ τον Πίν. 1 προκύπτει ότι, συγκριτικά με Ελλάδα,</w:t>
      </w:r>
      <w:r w:rsidR="002217C9" w:rsidRPr="00E75B0C">
        <w:rPr>
          <w:rStyle w:val="a7"/>
          <w:rFonts w:ascii="Verdana" w:hAnsi="Verdana"/>
          <w:sz w:val="18"/>
          <w:szCs w:val="18"/>
        </w:rPr>
        <w:footnoteReference w:id="1"/>
      </w:r>
    </w:p>
    <w:p w:rsidR="006D58BA" w:rsidRPr="00E75B0C" w:rsidRDefault="006D58BA" w:rsidP="006D58BA">
      <w:pPr>
        <w:pStyle w:val="a3"/>
        <w:numPr>
          <w:ilvl w:val="0"/>
          <w:numId w:val="3"/>
        </w:numPr>
        <w:spacing w:line="240" w:lineRule="auto"/>
        <w:rPr>
          <w:rFonts w:ascii="Verdana" w:hAnsi="Verdana"/>
          <w:sz w:val="18"/>
          <w:szCs w:val="18"/>
        </w:rPr>
      </w:pPr>
      <w:r w:rsidRPr="00E75B0C">
        <w:rPr>
          <w:rFonts w:ascii="Verdana" w:hAnsi="Verdana"/>
          <w:sz w:val="18"/>
          <w:szCs w:val="18"/>
        </w:rPr>
        <w:t>Κάποιες χώρες (π.χ., ΗΠΑ, Αυστραλία</w:t>
      </w:r>
      <w:r w:rsidR="002E058F" w:rsidRPr="00E75B0C">
        <w:rPr>
          <w:rFonts w:ascii="Verdana" w:hAnsi="Verdana"/>
          <w:sz w:val="18"/>
          <w:szCs w:val="18"/>
        </w:rPr>
        <w:t>, Καναδάς</w:t>
      </w:r>
      <w:r w:rsidRPr="00E75B0C">
        <w:rPr>
          <w:rFonts w:ascii="Verdana" w:hAnsi="Verdana"/>
          <w:sz w:val="18"/>
          <w:szCs w:val="18"/>
        </w:rPr>
        <w:t>) έχουν μικρότερο % συνολικών φόρων</w:t>
      </w:r>
      <w:r w:rsidR="002E058F" w:rsidRPr="00E75B0C">
        <w:rPr>
          <w:rFonts w:ascii="Verdana" w:hAnsi="Verdana"/>
          <w:sz w:val="18"/>
          <w:szCs w:val="18"/>
        </w:rPr>
        <w:t xml:space="preserve"> στο ΑΕΠ, μα μεγαλύτερο %</w:t>
      </w:r>
      <w:r w:rsidRPr="00E75B0C">
        <w:rPr>
          <w:rFonts w:ascii="Verdana" w:hAnsi="Verdana"/>
          <w:sz w:val="18"/>
          <w:szCs w:val="18"/>
        </w:rPr>
        <w:t xml:space="preserve"> φόρω</w:t>
      </w:r>
      <w:r w:rsidR="002E058F" w:rsidRPr="00E75B0C">
        <w:rPr>
          <w:rFonts w:ascii="Verdana" w:hAnsi="Verdana"/>
          <w:sz w:val="18"/>
          <w:szCs w:val="18"/>
        </w:rPr>
        <w:t>ν ακινήτων, ειδικά δε</w:t>
      </w:r>
      <w:r w:rsidRPr="00E75B0C">
        <w:rPr>
          <w:rFonts w:ascii="Verdana" w:hAnsi="Verdana"/>
          <w:sz w:val="18"/>
          <w:szCs w:val="18"/>
        </w:rPr>
        <w:t>, φόρων κατοχής (δηλ. επαναλαμβανομένων φόρων) ακινήτων στο ΑΕΠ.</w:t>
      </w:r>
    </w:p>
    <w:p w:rsidR="006D58BA" w:rsidRPr="00E75B0C" w:rsidRDefault="006D58BA" w:rsidP="006D58BA">
      <w:pPr>
        <w:spacing w:line="240" w:lineRule="auto"/>
        <w:ind w:left="1080"/>
        <w:rPr>
          <w:rFonts w:ascii="Verdana" w:hAnsi="Verdana"/>
          <w:sz w:val="18"/>
          <w:szCs w:val="18"/>
        </w:rPr>
      </w:pPr>
      <w:r w:rsidRPr="00E75B0C">
        <w:rPr>
          <w:rFonts w:ascii="Verdana" w:hAnsi="Verdana"/>
          <w:sz w:val="18"/>
          <w:szCs w:val="18"/>
        </w:rPr>
        <w:t>Σε τέτοιες περιπτώσεις είναι προφανές πως το πραγματικό φορολογικό βάρος</w:t>
      </w:r>
      <w:r w:rsidR="007371E4" w:rsidRPr="00E75B0C">
        <w:rPr>
          <w:rFonts w:ascii="Verdana" w:hAnsi="Verdana"/>
          <w:sz w:val="18"/>
          <w:szCs w:val="18"/>
        </w:rPr>
        <w:t xml:space="preserve"> φόρων ακινήτων και δη κατοχής ακινήτων</w:t>
      </w:r>
      <w:r w:rsidR="00AB3E8F" w:rsidRPr="00E75B0C">
        <w:rPr>
          <w:rFonts w:ascii="Verdana" w:hAnsi="Verdana"/>
          <w:sz w:val="18"/>
          <w:szCs w:val="18"/>
        </w:rPr>
        <w:t xml:space="preserve"> επί των </w:t>
      </w:r>
      <w:r w:rsidR="00E30664" w:rsidRPr="00E75B0C">
        <w:rPr>
          <w:rFonts w:ascii="Verdana" w:hAnsi="Verdana"/>
          <w:sz w:val="18"/>
          <w:szCs w:val="18"/>
        </w:rPr>
        <w:t>νοικοκυριών</w:t>
      </w:r>
      <w:r w:rsidR="007371E4" w:rsidRPr="00E75B0C">
        <w:rPr>
          <w:rFonts w:ascii="Verdana" w:hAnsi="Verdana"/>
          <w:sz w:val="18"/>
          <w:szCs w:val="18"/>
        </w:rPr>
        <w:t xml:space="preserve"> (για ίδιο επίπεδο παραοικονομίας και ιδία κατανομή </w:t>
      </w:r>
      <w:r w:rsidR="00490400" w:rsidRPr="00E75B0C">
        <w:rPr>
          <w:rFonts w:ascii="Verdana" w:hAnsi="Verdana"/>
          <w:sz w:val="18"/>
          <w:szCs w:val="18"/>
        </w:rPr>
        <w:t>ακίνητης περιουσίας</w:t>
      </w:r>
      <w:r w:rsidR="007371E4" w:rsidRPr="00E75B0C">
        <w:rPr>
          <w:rFonts w:ascii="Verdana" w:hAnsi="Verdana"/>
          <w:sz w:val="18"/>
          <w:szCs w:val="18"/>
        </w:rPr>
        <w:t xml:space="preserve"> σε </w:t>
      </w:r>
      <w:r w:rsidR="00AB3E8F" w:rsidRPr="00E75B0C">
        <w:rPr>
          <w:rFonts w:ascii="Verdana" w:hAnsi="Verdana"/>
          <w:sz w:val="18"/>
          <w:szCs w:val="18"/>
        </w:rPr>
        <w:t>σχέση</w:t>
      </w:r>
      <w:r w:rsidR="007371E4" w:rsidRPr="00E75B0C">
        <w:rPr>
          <w:rFonts w:ascii="Verdana" w:hAnsi="Verdana"/>
          <w:sz w:val="18"/>
          <w:szCs w:val="18"/>
        </w:rPr>
        <w:t xml:space="preserve"> με την κατανομή εισ</w:t>
      </w:r>
      <w:r w:rsidR="00E50744" w:rsidRPr="00E75B0C">
        <w:rPr>
          <w:rFonts w:ascii="Verdana" w:hAnsi="Verdana"/>
          <w:sz w:val="18"/>
          <w:szCs w:val="18"/>
        </w:rPr>
        <w:t>οδήματος) είναι μικρότερο απ’ ό</w:t>
      </w:r>
      <w:r w:rsidR="007371E4" w:rsidRPr="00E75B0C">
        <w:rPr>
          <w:rFonts w:ascii="Verdana" w:hAnsi="Verdana"/>
          <w:sz w:val="18"/>
          <w:szCs w:val="18"/>
        </w:rPr>
        <w:t xml:space="preserve">τι στην Ελλάδα, παρ’ ότι αυτές </w:t>
      </w:r>
      <w:r w:rsidR="00E50744" w:rsidRPr="00E75B0C">
        <w:rPr>
          <w:rFonts w:ascii="Verdana" w:hAnsi="Verdana"/>
          <w:sz w:val="18"/>
          <w:szCs w:val="18"/>
        </w:rPr>
        <w:t>οι</w:t>
      </w:r>
      <w:r w:rsidR="007371E4" w:rsidRPr="00E75B0C">
        <w:rPr>
          <w:rFonts w:ascii="Verdana" w:hAnsi="Verdana"/>
          <w:sz w:val="18"/>
          <w:szCs w:val="18"/>
        </w:rPr>
        <w:t xml:space="preserve"> χώρες έχουν σημαντικά μεγαλύτερο % φόρων ακινήτων (κατοχής ιδίως) στο ΑΕΠ απ’ ότι έχει η </w:t>
      </w:r>
      <w:r w:rsidR="00B672FE" w:rsidRPr="00E75B0C">
        <w:rPr>
          <w:rFonts w:ascii="Verdana" w:hAnsi="Verdana"/>
          <w:sz w:val="18"/>
          <w:szCs w:val="18"/>
        </w:rPr>
        <w:t>Ελλάδα</w:t>
      </w:r>
      <w:r w:rsidR="00E50744" w:rsidRPr="00E75B0C">
        <w:rPr>
          <w:rFonts w:ascii="Verdana" w:hAnsi="Verdana"/>
          <w:sz w:val="18"/>
          <w:szCs w:val="18"/>
        </w:rPr>
        <w:t>. Επειδή μάλιστα αυτές οι</w:t>
      </w:r>
      <w:r w:rsidR="007371E4" w:rsidRPr="00E75B0C">
        <w:rPr>
          <w:rFonts w:ascii="Verdana" w:hAnsi="Verdana"/>
          <w:sz w:val="18"/>
          <w:szCs w:val="18"/>
        </w:rPr>
        <w:t xml:space="preserve"> χώρες έχουν </w:t>
      </w:r>
      <w:r w:rsidR="00AB3E8F" w:rsidRPr="00E75B0C">
        <w:rPr>
          <w:rFonts w:ascii="Verdana" w:hAnsi="Verdana"/>
          <w:sz w:val="18"/>
          <w:szCs w:val="18"/>
        </w:rPr>
        <w:t>λιγότερη</w:t>
      </w:r>
      <w:r w:rsidR="00E50744" w:rsidRPr="00E75B0C">
        <w:rPr>
          <w:rFonts w:ascii="Verdana" w:hAnsi="Verdana"/>
          <w:sz w:val="18"/>
          <w:szCs w:val="18"/>
        </w:rPr>
        <w:t xml:space="preserve"> παραοικονομία απ’ ό</w:t>
      </w:r>
      <w:r w:rsidR="007371E4" w:rsidRPr="00E75B0C">
        <w:rPr>
          <w:rFonts w:ascii="Verdana" w:hAnsi="Verdana"/>
          <w:sz w:val="18"/>
          <w:szCs w:val="18"/>
        </w:rPr>
        <w:t xml:space="preserve">τι η </w:t>
      </w:r>
      <w:r w:rsidR="00B672FE" w:rsidRPr="00E75B0C">
        <w:rPr>
          <w:rFonts w:ascii="Verdana" w:hAnsi="Verdana"/>
          <w:sz w:val="18"/>
          <w:szCs w:val="18"/>
        </w:rPr>
        <w:t>Ελλάδα</w:t>
      </w:r>
      <w:r w:rsidR="007371E4" w:rsidRPr="00E75B0C">
        <w:rPr>
          <w:rFonts w:ascii="Verdana" w:hAnsi="Verdana"/>
          <w:sz w:val="18"/>
          <w:szCs w:val="18"/>
        </w:rPr>
        <w:t xml:space="preserve">, αλλά και (μάλλον) </w:t>
      </w:r>
      <w:r w:rsidR="00AB3E8F" w:rsidRPr="00E75B0C">
        <w:rPr>
          <w:rFonts w:ascii="Verdana" w:hAnsi="Verdana"/>
          <w:sz w:val="18"/>
          <w:szCs w:val="18"/>
        </w:rPr>
        <w:t>μια</w:t>
      </w:r>
      <w:r w:rsidR="007371E4" w:rsidRPr="00E75B0C">
        <w:rPr>
          <w:rFonts w:ascii="Verdana" w:hAnsi="Verdana"/>
          <w:sz w:val="18"/>
          <w:szCs w:val="18"/>
        </w:rPr>
        <w:t xml:space="preserve"> κατανομή </w:t>
      </w:r>
      <w:r w:rsidR="00490400" w:rsidRPr="00E75B0C">
        <w:rPr>
          <w:rFonts w:ascii="Verdana" w:hAnsi="Verdana"/>
          <w:sz w:val="18"/>
          <w:szCs w:val="18"/>
        </w:rPr>
        <w:t>ακίνητης περιουσίας</w:t>
      </w:r>
      <w:r w:rsidR="007371E4" w:rsidRPr="00E75B0C">
        <w:rPr>
          <w:rFonts w:ascii="Verdana" w:hAnsi="Verdana"/>
          <w:sz w:val="18"/>
          <w:szCs w:val="18"/>
        </w:rPr>
        <w:t xml:space="preserve"> </w:t>
      </w:r>
      <w:r w:rsidR="00AB3E8F" w:rsidRPr="00E75B0C">
        <w:rPr>
          <w:rFonts w:ascii="Verdana" w:hAnsi="Verdana"/>
          <w:sz w:val="18"/>
          <w:szCs w:val="18"/>
        </w:rPr>
        <w:t>πιο</w:t>
      </w:r>
      <w:r w:rsidR="007371E4" w:rsidRPr="00E75B0C">
        <w:rPr>
          <w:rFonts w:ascii="Verdana" w:hAnsi="Verdana"/>
          <w:sz w:val="18"/>
          <w:szCs w:val="18"/>
        </w:rPr>
        <w:t xml:space="preserve"> κοντά </w:t>
      </w:r>
      <w:r w:rsidR="00E50744" w:rsidRPr="00E75B0C">
        <w:rPr>
          <w:rFonts w:ascii="Verdana" w:hAnsi="Verdana"/>
          <w:sz w:val="18"/>
          <w:szCs w:val="18"/>
        </w:rPr>
        <w:t>στην κατανομή εισοδήματος απ’ ό</w:t>
      </w:r>
      <w:r w:rsidR="007371E4" w:rsidRPr="00E75B0C">
        <w:rPr>
          <w:rFonts w:ascii="Verdana" w:hAnsi="Verdana"/>
          <w:sz w:val="18"/>
          <w:szCs w:val="18"/>
        </w:rPr>
        <w:t xml:space="preserve">τι η </w:t>
      </w:r>
      <w:r w:rsidR="00B672FE" w:rsidRPr="00E75B0C">
        <w:rPr>
          <w:rFonts w:ascii="Verdana" w:hAnsi="Verdana"/>
          <w:sz w:val="18"/>
          <w:szCs w:val="18"/>
        </w:rPr>
        <w:t>Ελλάδα</w:t>
      </w:r>
      <w:r w:rsidR="007371E4" w:rsidRPr="00E75B0C">
        <w:rPr>
          <w:rFonts w:ascii="Verdana" w:hAnsi="Verdana"/>
          <w:sz w:val="18"/>
          <w:szCs w:val="18"/>
        </w:rPr>
        <w:t xml:space="preserve">, το φορολογικό βάρος των φόρων ακινήτων και δη κατοχής ακινήτων πρέπει να είναι ακόμη μικρότερο σε αυτές. </w:t>
      </w:r>
    </w:p>
    <w:p w:rsidR="007371E4" w:rsidRPr="00E75B0C" w:rsidRDefault="007371E4" w:rsidP="007371E4">
      <w:pPr>
        <w:pStyle w:val="a3"/>
        <w:numPr>
          <w:ilvl w:val="0"/>
          <w:numId w:val="3"/>
        </w:numPr>
        <w:spacing w:line="240" w:lineRule="auto"/>
        <w:rPr>
          <w:rFonts w:ascii="Verdana" w:hAnsi="Verdana"/>
          <w:sz w:val="18"/>
          <w:szCs w:val="18"/>
        </w:rPr>
      </w:pPr>
      <w:r w:rsidRPr="00E75B0C">
        <w:rPr>
          <w:rFonts w:ascii="Verdana" w:hAnsi="Verdana"/>
          <w:sz w:val="18"/>
          <w:szCs w:val="18"/>
        </w:rPr>
        <w:t xml:space="preserve">Κάποιες χώρες (π.χ., Σουηδία) έχουν </w:t>
      </w:r>
      <w:r w:rsidR="00000C1E" w:rsidRPr="00E75B0C">
        <w:rPr>
          <w:rFonts w:ascii="Verdana" w:hAnsi="Verdana"/>
          <w:sz w:val="18"/>
          <w:szCs w:val="18"/>
        </w:rPr>
        <w:t xml:space="preserve">σημαντικά </w:t>
      </w:r>
      <w:r w:rsidRPr="00E75B0C">
        <w:rPr>
          <w:rFonts w:ascii="Verdana" w:hAnsi="Verdana"/>
          <w:sz w:val="18"/>
          <w:szCs w:val="18"/>
        </w:rPr>
        <w:t>μεγα</w:t>
      </w:r>
      <w:r w:rsidR="00EE4BD5" w:rsidRPr="00E75B0C">
        <w:rPr>
          <w:rFonts w:ascii="Verdana" w:hAnsi="Verdana"/>
          <w:sz w:val="18"/>
          <w:szCs w:val="18"/>
        </w:rPr>
        <w:t xml:space="preserve">λύτερο % συνολικών φόρων στο ΑΕΠ, μα μικρότερο % </w:t>
      </w:r>
      <w:r w:rsidRPr="00E75B0C">
        <w:rPr>
          <w:rFonts w:ascii="Verdana" w:hAnsi="Verdana"/>
          <w:sz w:val="18"/>
          <w:szCs w:val="18"/>
        </w:rPr>
        <w:t xml:space="preserve">φόρων ακινήτων και κατοχής ακινήτων. </w:t>
      </w:r>
    </w:p>
    <w:p w:rsidR="008F57C3" w:rsidRPr="00E75B0C" w:rsidRDefault="008F57C3" w:rsidP="008F57C3">
      <w:pPr>
        <w:pStyle w:val="a3"/>
        <w:spacing w:line="240" w:lineRule="auto"/>
        <w:ind w:left="1080"/>
        <w:rPr>
          <w:rFonts w:ascii="Verdana" w:hAnsi="Verdana"/>
          <w:sz w:val="18"/>
          <w:szCs w:val="18"/>
        </w:rPr>
      </w:pPr>
    </w:p>
    <w:p w:rsidR="00EE4BD5" w:rsidRPr="00E75B0C" w:rsidRDefault="00EE4BD5" w:rsidP="00EE4BD5">
      <w:pPr>
        <w:pStyle w:val="a3"/>
        <w:numPr>
          <w:ilvl w:val="0"/>
          <w:numId w:val="3"/>
        </w:numPr>
        <w:spacing w:line="240" w:lineRule="auto"/>
        <w:rPr>
          <w:rFonts w:ascii="Verdana" w:hAnsi="Verdana"/>
          <w:sz w:val="18"/>
          <w:szCs w:val="18"/>
        </w:rPr>
      </w:pPr>
      <w:r w:rsidRPr="00E75B0C">
        <w:rPr>
          <w:rFonts w:ascii="Verdana" w:hAnsi="Verdana"/>
          <w:sz w:val="18"/>
          <w:szCs w:val="18"/>
        </w:rPr>
        <w:t xml:space="preserve">Κάποιες χώρες (π.χ., Γερμανία, Πορτογαλία) έχουν κατά τι μεγαλύτερο % συνολικών φόρων στο ΑΕΠ, μα μικρότερο ως σημαντικά μικρότερο % φόρων ακινήτων και κατοχής ακινήτων. </w:t>
      </w:r>
    </w:p>
    <w:p w:rsidR="008F57C3" w:rsidRPr="00E75B0C" w:rsidRDefault="008F57C3" w:rsidP="008F57C3">
      <w:pPr>
        <w:pStyle w:val="a3"/>
        <w:rPr>
          <w:rFonts w:ascii="Verdana" w:hAnsi="Verdana"/>
          <w:sz w:val="18"/>
          <w:szCs w:val="18"/>
        </w:rPr>
      </w:pPr>
    </w:p>
    <w:p w:rsidR="00EE4BD5" w:rsidRPr="00E75B0C" w:rsidRDefault="00EE4BD5" w:rsidP="00EE4BD5">
      <w:pPr>
        <w:pStyle w:val="a3"/>
        <w:numPr>
          <w:ilvl w:val="0"/>
          <w:numId w:val="3"/>
        </w:numPr>
        <w:spacing w:line="240" w:lineRule="auto"/>
        <w:rPr>
          <w:rFonts w:ascii="Verdana" w:hAnsi="Verdana"/>
          <w:sz w:val="18"/>
          <w:szCs w:val="18"/>
        </w:rPr>
      </w:pPr>
      <w:r w:rsidRPr="00E75B0C">
        <w:rPr>
          <w:rFonts w:ascii="Verdana" w:hAnsi="Verdana"/>
          <w:sz w:val="18"/>
          <w:szCs w:val="18"/>
        </w:rPr>
        <w:t xml:space="preserve">Κάποιες (π.χ., Ισπανία) έχουν παρόμοιο % συνολικών φόρων στο ΑΕΠ και παρόμοιο % φόρων ακινήτων και κατοχής ακινήτων. </w:t>
      </w:r>
    </w:p>
    <w:p w:rsidR="008F57C3" w:rsidRPr="00E75B0C" w:rsidRDefault="008F57C3" w:rsidP="008F57C3">
      <w:pPr>
        <w:pStyle w:val="a3"/>
        <w:rPr>
          <w:rFonts w:ascii="Verdana" w:hAnsi="Verdana"/>
          <w:sz w:val="18"/>
          <w:szCs w:val="18"/>
        </w:rPr>
      </w:pPr>
    </w:p>
    <w:p w:rsidR="008F57C3" w:rsidRPr="00E75B0C" w:rsidRDefault="008F57C3" w:rsidP="00EE4BD5">
      <w:pPr>
        <w:pStyle w:val="a3"/>
        <w:numPr>
          <w:ilvl w:val="0"/>
          <w:numId w:val="3"/>
        </w:numPr>
        <w:spacing w:line="240" w:lineRule="auto"/>
        <w:rPr>
          <w:rFonts w:ascii="Verdana" w:hAnsi="Verdana"/>
          <w:sz w:val="18"/>
          <w:szCs w:val="18"/>
        </w:rPr>
      </w:pPr>
      <w:r w:rsidRPr="00E75B0C">
        <w:rPr>
          <w:rFonts w:ascii="Verdana" w:hAnsi="Verdana"/>
          <w:sz w:val="18"/>
          <w:szCs w:val="18"/>
        </w:rPr>
        <w:t>Κάποιες (π.χ., Ιταλία) έχουν μεγαλύτερο % συνολικών φόρων στο ΑΕΠ, μεγαλύτερο % φόρων ακινήτων, μα μικρότερο % φόρων κατοχής.</w:t>
      </w:r>
    </w:p>
    <w:p w:rsidR="008F57C3" w:rsidRPr="00E75B0C" w:rsidRDefault="008F57C3" w:rsidP="008F57C3">
      <w:pPr>
        <w:pStyle w:val="a3"/>
        <w:rPr>
          <w:rFonts w:ascii="Verdana" w:hAnsi="Verdana"/>
          <w:sz w:val="18"/>
          <w:szCs w:val="18"/>
        </w:rPr>
      </w:pPr>
    </w:p>
    <w:p w:rsidR="008F57C3" w:rsidRPr="00E75B0C" w:rsidRDefault="008F57C3" w:rsidP="00EE4BD5">
      <w:pPr>
        <w:pStyle w:val="a3"/>
        <w:numPr>
          <w:ilvl w:val="0"/>
          <w:numId w:val="3"/>
        </w:numPr>
        <w:spacing w:line="240" w:lineRule="auto"/>
        <w:rPr>
          <w:rFonts w:ascii="Verdana" w:hAnsi="Verdana"/>
          <w:sz w:val="18"/>
          <w:szCs w:val="18"/>
        </w:rPr>
      </w:pPr>
      <w:r w:rsidRPr="00E75B0C">
        <w:rPr>
          <w:rFonts w:ascii="Verdana" w:hAnsi="Verdana"/>
          <w:sz w:val="18"/>
          <w:szCs w:val="18"/>
        </w:rPr>
        <w:t xml:space="preserve">Κάποιες (π.χ., Γαλλία, Ην. Βασίλειο) έχουν μεγαλύτερο % συνολικών φόρων στο ΑΕΠ και μεγαλύτερο % φόρων ακινήτων και κατοχής ακινήτων. Εδώ, προφανώς, η επιβάρυνση για τους ιδιοκτήτες ακινήτων είναι, </w:t>
      </w:r>
      <w:r w:rsidRPr="00E75B0C">
        <w:rPr>
          <w:rFonts w:ascii="Verdana" w:hAnsi="Verdana"/>
          <w:sz w:val="18"/>
          <w:szCs w:val="18"/>
          <w:lang w:val="en-US"/>
        </w:rPr>
        <w:t>ceteris</w:t>
      </w:r>
      <w:r w:rsidRPr="00E75B0C">
        <w:rPr>
          <w:rFonts w:ascii="Verdana" w:hAnsi="Verdana"/>
          <w:sz w:val="18"/>
          <w:szCs w:val="18"/>
        </w:rPr>
        <w:t xml:space="preserve"> </w:t>
      </w:r>
      <w:r w:rsidRPr="00E75B0C">
        <w:rPr>
          <w:rFonts w:ascii="Verdana" w:hAnsi="Verdana"/>
          <w:sz w:val="18"/>
          <w:szCs w:val="18"/>
          <w:lang w:val="en-US"/>
        </w:rPr>
        <w:t>paribus</w:t>
      </w:r>
      <w:r w:rsidRPr="00E75B0C">
        <w:rPr>
          <w:rFonts w:ascii="Verdana" w:hAnsi="Verdana"/>
          <w:sz w:val="18"/>
          <w:szCs w:val="18"/>
        </w:rPr>
        <w:t xml:space="preserve">, η </w:t>
      </w:r>
      <w:r w:rsidR="00AB3E8F" w:rsidRPr="00E75B0C">
        <w:rPr>
          <w:rFonts w:ascii="Verdana" w:hAnsi="Verdana"/>
          <w:sz w:val="18"/>
          <w:szCs w:val="18"/>
        </w:rPr>
        <w:t>μεγαλύτερη</w:t>
      </w:r>
      <w:r w:rsidRPr="00E75B0C">
        <w:rPr>
          <w:rFonts w:ascii="Verdana" w:hAnsi="Verdana"/>
          <w:sz w:val="18"/>
          <w:szCs w:val="18"/>
        </w:rPr>
        <w:t xml:space="preserve">. </w:t>
      </w:r>
    </w:p>
    <w:p w:rsidR="008F57C3" w:rsidRPr="00E75B0C" w:rsidRDefault="008F57C3" w:rsidP="008F57C3">
      <w:pPr>
        <w:pStyle w:val="a3"/>
        <w:rPr>
          <w:rFonts w:ascii="Verdana" w:hAnsi="Verdana"/>
          <w:sz w:val="18"/>
          <w:szCs w:val="18"/>
        </w:rPr>
      </w:pPr>
    </w:p>
    <w:p w:rsidR="008F57C3" w:rsidRPr="00E75B0C" w:rsidRDefault="00E50744" w:rsidP="008F57C3">
      <w:pPr>
        <w:spacing w:line="240" w:lineRule="auto"/>
        <w:rPr>
          <w:rFonts w:ascii="Verdana" w:hAnsi="Verdana"/>
          <w:b/>
          <w:sz w:val="18"/>
          <w:szCs w:val="18"/>
        </w:rPr>
      </w:pPr>
      <w:r w:rsidRPr="00E75B0C">
        <w:rPr>
          <w:rFonts w:ascii="Verdana" w:hAnsi="Verdana"/>
          <w:b/>
          <w:sz w:val="18"/>
          <w:szCs w:val="18"/>
        </w:rPr>
        <w:t>Δεύτερη</w:t>
      </w:r>
      <w:r w:rsidR="00A06053" w:rsidRPr="00E75B0C">
        <w:rPr>
          <w:rFonts w:ascii="Verdana" w:hAnsi="Verdana"/>
          <w:b/>
          <w:sz w:val="18"/>
          <w:szCs w:val="18"/>
        </w:rPr>
        <w:t xml:space="preserve"> προσέγγιση: Τ</w:t>
      </w:r>
      <w:r w:rsidR="008F57C3" w:rsidRPr="00E75B0C">
        <w:rPr>
          <w:rFonts w:ascii="Verdana" w:hAnsi="Verdana"/>
          <w:b/>
          <w:sz w:val="18"/>
          <w:szCs w:val="18"/>
        </w:rPr>
        <w:t xml:space="preserve">ο διαθέσιμο εισόδημα και ο </w:t>
      </w:r>
      <w:r w:rsidR="00BB3D37" w:rsidRPr="00E75B0C">
        <w:rPr>
          <w:rFonts w:ascii="Verdana" w:hAnsi="Verdana"/>
          <w:b/>
          <w:sz w:val="18"/>
          <w:szCs w:val="18"/>
        </w:rPr>
        <w:t xml:space="preserve">χρηματοοικονομικός πλούτος των </w:t>
      </w:r>
      <w:r w:rsidR="008F57C3" w:rsidRPr="00E75B0C">
        <w:rPr>
          <w:rFonts w:ascii="Verdana" w:hAnsi="Verdana"/>
          <w:b/>
          <w:sz w:val="18"/>
          <w:szCs w:val="18"/>
        </w:rPr>
        <w:t>νοικοκυριών.</w:t>
      </w:r>
    </w:p>
    <w:p w:rsidR="008F57C3" w:rsidRPr="00E75B0C" w:rsidRDefault="008F57C3" w:rsidP="008F57C3">
      <w:pPr>
        <w:spacing w:line="240" w:lineRule="auto"/>
        <w:rPr>
          <w:rFonts w:ascii="Verdana" w:hAnsi="Verdana"/>
          <w:sz w:val="18"/>
          <w:szCs w:val="18"/>
        </w:rPr>
      </w:pPr>
    </w:p>
    <w:p w:rsidR="008F57C3" w:rsidRPr="00E75B0C" w:rsidRDefault="002501F0" w:rsidP="008F57C3">
      <w:pPr>
        <w:spacing w:line="240" w:lineRule="auto"/>
        <w:rPr>
          <w:rFonts w:ascii="Verdana" w:hAnsi="Verdana"/>
          <w:sz w:val="18"/>
          <w:szCs w:val="18"/>
        </w:rPr>
      </w:pPr>
      <w:r w:rsidRPr="00E75B0C">
        <w:rPr>
          <w:rFonts w:ascii="Verdana" w:hAnsi="Verdana"/>
          <w:sz w:val="18"/>
          <w:szCs w:val="18"/>
        </w:rPr>
        <w:t>Ο Πίν. 1 δείχνει επίσης το</w:t>
      </w:r>
      <w:r w:rsidR="006410C3" w:rsidRPr="00E75B0C">
        <w:rPr>
          <w:rFonts w:ascii="Verdana" w:hAnsi="Verdana"/>
          <w:sz w:val="18"/>
          <w:szCs w:val="18"/>
        </w:rPr>
        <w:t xml:space="preserve"> </w:t>
      </w:r>
      <w:r w:rsidR="00506642" w:rsidRPr="00E75B0C">
        <w:rPr>
          <w:rFonts w:ascii="Verdana" w:hAnsi="Verdana"/>
          <w:sz w:val="18"/>
          <w:szCs w:val="18"/>
        </w:rPr>
        <w:t>διαθέσιμο εισόδημα</w:t>
      </w:r>
      <w:r w:rsidRPr="00E75B0C">
        <w:rPr>
          <w:rFonts w:ascii="Verdana" w:hAnsi="Verdana"/>
          <w:sz w:val="18"/>
          <w:szCs w:val="18"/>
        </w:rPr>
        <w:t xml:space="preserve"> </w:t>
      </w:r>
      <w:r w:rsidR="00AB3E8F" w:rsidRPr="00E75B0C">
        <w:rPr>
          <w:rFonts w:ascii="Verdana" w:hAnsi="Verdana"/>
          <w:sz w:val="18"/>
          <w:szCs w:val="18"/>
        </w:rPr>
        <w:t>νοικοκυριών</w:t>
      </w:r>
      <w:r w:rsidR="006410C3" w:rsidRPr="00E75B0C">
        <w:rPr>
          <w:rFonts w:ascii="Verdana" w:hAnsi="Verdana"/>
          <w:sz w:val="18"/>
          <w:szCs w:val="18"/>
        </w:rPr>
        <w:t xml:space="preserve"> στις περιλαμβανόμενες χώρες</w:t>
      </w:r>
      <w:r w:rsidR="00506642" w:rsidRPr="00E75B0C">
        <w:rPr>
          <w:rFonts w:ascii="Verdana" w:hAnsi="Verdana"/>
          <w:sz w:val="18"/>
          <w:szCs w:val="18"/>
        </w:rPr>
        <w:t xml:space="preserve"> το 2011</w:t>
      </w:r>
      <w:r w:rsidR="006410C3" w:rsidRPr="00E75B0C">
        <w:rPr>
          <w:rFonts w:ascii="Verdana" w:hAnsi="Verdana"/>
          <w:sz w:val="18"/>
          <w:szCs w:val="18"/>
        </w:rPr>
        <w:t>. Ως γνωστόν, το διαθέσιμο εισόδημα είναι το εισόδημα</w:t>
      </w:r>
      <w:r w:rsidRPr="00E75B0C">
        <w:rPr>
          <w:rFonts w:ascii="Verdana" w:hAnsi="Verdana"/>
          <w:sz w:val="18"/>
          <w:szCs w:val="18"/>
        </w:rPr>
        <w:t xml:space="preserve"> που μένει</w:t>
      </w:r>
      <w:r w:rsidR="006410C3" w:rsidRPr="00E75B0C">
        <w:rPr>
          <w:rFonts w:ascii="Verdana" w:hAnsi="Verdana"/>
          <w:sz w:val="18"/>
          <w:szCs w:val="18"/>
        </w:rPr>
        <w:t xml:space="preserve"> μετά την </w:t>
      </w:r>
      <w:r w:rsidR="00BB3D37" w:rsidRPr="00E75B0C">
        <w:rPr>
          <w:rFonts w:ascii="Verdana" w:hAnsi="Verdana"/>
          <w:sz w:val="18"/>
          <w:szCs w:val="18"/>
        </w:rPr>
        <w:t>αφαίρεση</w:t>
      </w:r>
      <w:r w:rsidR="006410C3" w:rsidRPr="00E75B0C">
        <w:rPr>
          <w:rFonts w:ascii="Verdana" w:hAnsi="Verdana"/>
          <w:sz w:val="18"/>
          <w:szCs w:val="18"/>
        </w:rPr>
        <w:t xml:space="preserve"> απ’ το </w:t>
      </w:r>
      <w:r w:rsidRPr="00E75B0C">
        <w:rPr>
          <w:rFonts w:ascii="Verdana" w:hAnsi="Verdana"/>
          <w:sz w:val="18"/>
          <w:szCs w:val="18"/>
        </w:rPr>
        <w:t xml:space="preserve">συνολικό προσωπικό </w:t>
      </w:r>
      <w:r w:rsidR="006410C3" w:rsidRPr="00E75B0C">
        <w:rPr>
          <w:rFonts w:ascii="Verdana" w:hAnsi="Verdana"/>
          <w:sz w:val="18"/>
          <w:szCs w:val="18"/>
        </w:rPr>
        <w:t>εισόδημα όλων των προσωπικών φόρων (μαζί και επαναλαμβανομένων φόρων ακινήτων</w:t>
      </w:r>
      <w:r w:rsidR="00BB3D37" w:rsidRPr="00E75B0C">
        <w:rPr>
          <w:rFonts w:ascii="Verdana" w:hAnsi="Verdana"/>
          <w:sz w:val="18"/>
          <w:szCs w:val="18"/>
        </w:rPr>
        <w:t>, αλλά</w:t>
      </w:r>
      <w:r w:rsidR="00000C1E" w:rsidRPr="00E75B0C">
        <w:rPr>
          <w:rFonts w:ascii="Verdana" w:hAnsi="Verdana"/>
          <w:sz w:val="18"/>
          <w:szCs w:val="18"/>
        </w:rPr>
        <w:t xml:space="preserve"> όχι φόρων </w:t>
      </w:r>
      <w:r w:rsidR="00B672FE" w:rsidRPr="00E75B0C">
        <w:rPr>
          <w:rFonts w:ascii="Verdana" w:hAnsi="Verdana"/>
          <w:sz w:val="18"/>
          <w:szCs w:val="18"/>
        </w:rPr>
        <w:t>μεταβίβασης</w:t>
      </w:r>
      <w:r w:rsidR="00BB3D37" w:rsidRPr="00E75B0C">
        <w:rPr>
          <w:rFonts w:ascii="Verdana" w:hAnsi="Verdana"/>
          <w:sz w:val="18"/>
          <w:szCs w:val="18"/>
        </w:rPr>
        <w:t xml:space="preserve"> ακινήτων), που βαρύνουν τα </w:t>
      </w:r>
      <w:r w:rsidR="00000C1E" w:rsidRPr="00E75B0C">
        <w:rPr>
          <w:rFonts w:ascii="Verdana" w:hAnsi="Verdana"/>
          <w:sz w:val="18"/>
          <w:szCs w:val="18"/>
        </w:rPr>
        <w:t>νοικοκυριά</w:t>
      </w:r>
      <w:r w:rsidR="006410C3" w:rsidRPr="00E75B0C">
        <w:rPr>
          <w:rFonts w:ascii="Verdana" w:hAnsi="Verdana"/>
          <w:sz w:val="18"/>
          <w:szCs w:val="18"/>
        </w:rPr>
        <w:t xml:space="preserve">. Το διαθέσιμο εισόδημα, για λόγους </w:t>
      </w:r>
      <w:r w:rsidR="00E50744" w:rsidRPr="00E75B0C">
        <w:rPr>
          <w:rFonts w:ascii="Verdana" w:hAnsi="Verdana"/>
          <w:sz w:val="18"/>
          <w:szCs w:val="18"/>
        </w:rPr>
        <w:t>σύγκρισης</w:t>
      </w:r>
      <w:r w:rsidR="006410C3" w:rsidRPr="00E75B0C">
        <w:rPr>
          <w:rFonts w:ascii="Verdana" w:hAnsi="Verdana"/>
          <w:sz w:val="18"/>
          <w:szCs w:val="18"/>
        </w:rPr>
        <w:t>, έχει υπολογισθ</w:t>
      </w:r>
      <w:r w:rsidR="00BB3D37" w:rsidRPr="00E75B0C">
        <w:rPr>
          <w:rFonts w:ascii="Verdana" w:hAnsi="Verdana"/>
          <w:sz w:val="18"/>
          <w:szCs w:val="18"/>
        </w:rPr>
        <w:t>εί</w:t>
      </w:r>
      <w:r w:rsidR="006410C3" w:rsidRPr="00E75B0C">
        <w:rPr>
          <w:rFonts w:ascii="Verdana" w:hAnsi="Verdana"/>
          <w:sz w:val="18"/>
          <w:szCs w:val="18"/>
        </w:rPr>
        <w:t xml:space="preserve"> σε </w:t>
      </w:r>
      <w:r w:rsidR="006410C3" w:rsidRPr="00E75B0C">
        <w:rPr>
          <w:rFonts w:ascii="Verdana" w:hAnsi="Verdana"/>
          <w:sz w:val="18"/>
          <w:szCs w:val="18"/>
          <w:lang w:val="en-US"/>
        </w:rPr>
        <w:t>US</w:t>
      </w:r>
      <w:r w:rsidR="006410C3" w:rsidRPr="00E75B0C">
        <w:rPr>
          <w:rFonts w:ascii="Verdana" w:hAnsi="Verdana"/>
          <w:sz w:val="18"/>
          <w:szCs w:val="18"/>
        </w:rPr>
        <w:t>$ και σε όρους αγοραστικής δυνάμεως (</w:t>
      </w:r>
      <w:r w:rsidR="006410C3" w:rsidRPr="00E75B0C">
        <w:rPr>
          <w:rFonts w:ascii="Verdana" w:hAnsi="Verdana"/>
          <w:sz w:val="18"/>
          <w:szCs w:val="18"/>
          <w:lang w:val="en-US"/>
        </w:rPr>
        <w:t>PPP</w:t>
      </w:r>
      <w:r w:rsidR="006410C3" w:rsidRPr="00E75B0C">
        <w:rPr>
          <w:rFonts w:ascii="Verdana" w:hAnsi="Verdana"/>
          <w:sz w:val="18"/>
          <w:szCs w:val="18"/>
        </w:rPr>
        <w:t xml:space="preserve">, ή </w:t>
      </w:r>
      <w:r w:rsidR="006410C3" w:rsidRPr="00E75B0C">
        <w:rPr>
          <w:rFonts w:ascii="Verdana" w:hAnsi="Verdana"/>
          <w:sz w:val="18"/>
          <w:szCs w:val="18"/>
          <w:lang w:val="en-US"/>
        </w:rPr>
        <w:t>Purchasing</w:t>
      </w:r>
      <w:r w:rsidR="006410C3" w:rsidRPr="00E75B0C">
        <w:rPr>
          <w:rFonts w:ascii="Verdana" w:hAnsi="Verdana"/>
          <w:sz w:val="18"/>
          <w:szCs w:val="18"/>
        </w:rPr>
        <w:t xml:space="preserve"> </w:t>
      </w:r>
      <w:r w:rsidR="006410C3" w:rsidRPr="00E75B0C">
        <w:rPr>
          <w:rFonts w:ascii="Verdana" w:hAnsi="Verdana"/>
          <w:sz w:val="18"/>
          <w:szCs w:val="18"/>
          <w:lang w:val="en-US"/>
        </w:rPr>
        <w:t>Power</w:t>
      </w:r>
      <w:r w:rsidR="006410C3" w:rsidRPr="00E75B0C">
        <w:rPr>
          <w:rFonts w:ascii="Verdana" w:hAnsi="Verdana"/>
          <w:sz w:val="18"/>
          <w:szCs w:val="18"/>
        </w:rPr>
        <w:t xml:space="preserve"> </w:t>
      </w:r>
      <w:r w:rsidR="006410C3" w:rsidRPr="00E75B0C">
        <w:rPr>
          <w:rFonts w:ascii="Verdana" w:hAnsi="Verdana"/>
          <w:sz w:val="18"/>
          <w:szCs w:val="18"/>
          <w:lang w:val="en-US"/>
        </w:rPr>
        <w:t>Parity</w:t>
      </w:r>
      <w:r w:rsidR="006410C3" w:rsidRPr="00E75B0C">
        <w:rPr>
          <w:rFonts w:ascii="Verdana" w:hAnsi="Verdana"/>
          <w:sz w:val="18"/>
          <w:szCs w:val="18"/>
        </w:rPr>
        <w:t xml:space="preserve">) – άρα έχει λάβει υπ’ όψιν τις διαφορές στα επίπεδα τιμών μεταξύ των χωρών. </w:t>
      </w:r>
    </w:p>
    <w:p w:rsidR="006410C3" w:rsidRPr="00E75B0C" w:rsidRDefault="006410C3" w:rsidP="008F57C3">
      <w:pPr>
        <w:spacing w:line="240" w:lineRule="auto"/>
        <w:rPr>
          <w:rFonts w:ascii="Verdana" w:hAnsi="Verdana"/>
          <w:sz w:val="18"/>
          <w:szCs w:val="18"/>
        </w:rPr>
      </w:pPr>
      <w:r w:rsidRPr="00E75B0C">
        <w:rPr>
          <w:rFonts w:ascii="Verdana" w:hAnsi="Verdana"/>
          <w:sz w:val="18"/>
          <w:szCs w:val="18"/>
        </w:rPr>
        <w:t xml:space="preserve">Προκύπτει ότι σε όλες τις αναφερόμενες χώρες το διαθέσιμο εισόδημα είναι μεγαλύτερο έως πολύ μεγαλύτερο απ’ το ελληνικό, με μόνη, οριακή, </w:t>
      </w:r>
      <w:r w:rsidR="00BB3D37" w:rsidRPr="00E75B0C">
        <w:rPr>
          <w:rFonts w:ascii="Verdana" w:hAnsi="Verdana"/>
          <w:sz w:val="18"/>
          <w:szCs w:val="18"/>
        </w:rPr>
        <w:t>εξαίρεση</w:t>
      </w:r>
      <w:r w:rsidRPr="00E75B0C">
        <w:rPr>
          <w:rFonts w:ascii="Verdana" w:hAnsi="Verdana"/>
          <w:sz w:val="18"/>
          <w:szCs w:val="18"/>
        </w:rPr>
        <w:t xml:space="preserve"> την Πορτογαλία. Αυτό και μόνο το στοιχείο δείχνει πως μετά τους φόρους (περιλαμβανομένων των φόρων κατοχ</w:t>
      </w:r>
      <w:r w:rsidR="00AB3E8F" w:rsidRPr="00E75B0C">
        <w:rPr>
          <w:rFonts w:ascii="Verdana" w:hAnsi="Verdana"/>
          <w:sz w:val="18"/>
          <w:szCs w:val="18"/>
        </w:rPr>
        <w:t xml:space="preserve">ής ακινήτων, τονίζουμε) τα </w:t>
      </w:r>
      <w:r w:rsidR="002501F0" w:rsidRPr="00E75B0C">
        <w:rPr>
          <w:rFonts w:ascii="Verdana" w:hAnsi="Verdana"/>
          <w:sz w:val="18"/>
          <w:szCs w:val="18"/>
        </w:rPr>
        <w:t>νοικοκυριά</w:t>
      </w:r>
      <w:r w:rsidRPr="00E75B0C">
        <w:rPr>
          <w:rFonts w:ascii="Verdana" w:hAnsi="Verdana"/>
          <w:sz w:val="18"/>
          <w:szCs w:val="18"/>
        </w:rPr>
        <w:t xml:space="preserve"> σε αυτές τις χώρες διατηρούν </w:t>
      </w:r>
      <w:r w:rsidR="00AB3E8F" w:rsidRPr="00E75B0C">
        <w:rPr>
          <w:rFonts w:ascii="Verdana" w:hAnsi="Verdana"/>
          <w:sz w:val="18"/>
          <w:szCs w:val="18"/>
        </w:rPr>
        <w:t>μεγαλύτερη</w:t>
      </w:r>
      <w:r w:rsidR="00F142FA" w:rsidRPr="00E75B0C">
        <w:rPr>
          <w:rFonts w:ascii="Verdana" w:hAnsi="Verdana"/>
          <w:sz w:val="18"/>
          <w:szCs w:val="18"/>
        </w:rPr>
        <w:t xml:space="preserve"> εισοδηματική αγοραστική </w:t>
      </w:r>
      <w:r w:rsidR="00AB3E8F" w:rsidRPr="00E75B0C">
        <w:rPr>
          <w:rFonts w:ascii="Verdana" w:hAnsi="Verdana"/>
          <w:sz w:val="18"/>
          <w:szCs w:val="18"/>
        </w:rPr>
        <w:t>δύναμη</w:t>
      </w:r>
      <w:r w:rsidR="00E50744" w:rsidRPr="00E75B0C">
        <w:rPr>
          <w:rFonts w:ascii="Verdana" w:hAnsi="Verdana"/>
          <w:sz w:val="18"/>
          <w:szCs w:val="18"/>
        </w:rPr>
        <w:t xml:space="preserve"> απ’ ό</w:t>
      </w:r>
      <w:r w:rsidR="00F142FA" w:rsidRPr="00E75B0C">
        <w:rPr>
          <w:rFonts w:ascii="Verdana" w:hAnsi="Verdana"/>
          <w:sz w:val="18"/>
          <w:szCs w:val="18"/>
        </w:rPr>
        <w:t xml:space="preserve">τι </w:t>
      </w:r>
      <w:r w:rsidR="002501F0" w:rsidRPr="00E75B0C">
        <w:rPr>
          <w:rFonts w:ascii="Verdana" w:hAnsi="Verdana"/>
          <w:sz w:val="18"/>
          <w:szCs w:val="18"/>
        </w:rPr>
        <w:t>τα ελληνικά νοικοκυριά</w:t>
      </w:r>
      <w:r w:rsidR="00F142FA" w:rsidRPr="00E75B0C">
        <w:rPr>
          <w:rFonts w:ascii="Verdana" w:hAnsi="Verdana"/>
          <w:sz w:val="18"/>
          <w:szCs w:val="18"/>
        </w:rPr>
        <w:t xml:space="preserve"> – άρα το βάρος των φόρων επί των </w:t>
      </w:r>
      <w:r w:rsidR="002501F0" w:rsidRPr="00E75B0C">
        <w:rPr>
          <w:rFonts w:ascii="Verdana" w:hAnsi="Verdana"/>
          <w:sz w:val="18"/>
          <w:szCs w:val="18"/>
        </w:rPr>
        <w:t>νοικοκυριών</w:t>
      </w:r>
      <w:r w:rsidR="00E50744" w:rsidRPr="00E75B0C">
        <w:rPr>
          <w:rFonts w:ascii="Verdana" w:hAnsi="Verdana"/>
          <w:sz w:val="18"/>
          <w:szCs w:val="18"/>
        </w:rPr>
        <w:t xml:space="preserve"> είναι μικρότερο απ’ ό</w:t>
      </w:r>
      <w:r w:rsidR="00F142FA" w:rsidRPr="00E75B0C">
        <w:rPr>
          <w:rFonts w:ascii="Verdana" w:hAnsi="Verdana"/>
          <w:sz w:val="18"/>
          <w:szCs w:val="18"/>
        </w:rPr>
        <w:t xml:space="preserve">τι στην Ελλάδα. </w:t>
      </w:r>
    </w:p>
    <w:p w:rsidR="00F142FA" w:rsidRPr="00E75B0C" w:rsidRDefault="00F142FA" w:rsidP="008F57C3">
      <w:pPr>
        <w:spacing w:line="240" w:lineRule="auto"/>
        <w:rPr>
          <w:rFonts w:ascii="Verdana" w:hAnsi="Verdana"/>
          <w:sz w:val="18"/>
          <w:szCs w:val="18"/>
        </w:rPr>
      </w:pPr>
      <w:r w:rsidRPr="00E75B0C">
        <w:rPr>
          <w:rFonts w:ascii="Verdana" w:hAnsi="Verdana"/>
          <w:sz w:val="18"/>
          <w:szCs w:val="18"/>
        </w:rPr>
        <w:t>Σημειωτέον δε πως</w:t>
      </w:r>
      <w:r w:rsidR="00D657E4" w:rsidRPr="00E75B0C">
        <w:rPr>
          <w:rFonts w:ascii="Verdana" w:hAnsi="Verdana"/>
          <w:sz w:val="18"/>
          <w:szCs w:val="18"/>
        </w:rPr>
        <w:t>,</w:t>
      </w:r>
      <w:r w:rsidRPr="00E75B0C">
        <w:rPr>
          <w:rFonts w:ascii="Verdana" w:hAnsi="Verdana"/>
          <w:sz w:val="18"/>
          <w:szCs w:val="18"/>
        </w:rPr>
        <w:t xml:space="preserve"> αν λάβουμε υπ’ όψιν και τα καθαρά χρηματοοικονομικά διαθέσιμα των </w:t>
      </w:r>
      <w:r w:rsidR="002501F0" w:rsidRPr="00E75B0C">
        <w:rPr>
          <w:rFonts w:ascii="Verdana" w:hAnsi="Verdana"/>
          <w:sz w:val="18"/>
          <w:szCs w:val="18"/>
        </w:rPr>
        <w:t xml:space="preserve">νοικοκυριών (δηλ. χρηματοοικονομικά περιουσιακά στοιχεία ΜΕΙΟΝ χρηματοοικονομικές υποχρεώσεις), </w:t>
      </w:r>
      <w:r w:rsidR="00D657E4" w:rsidRPr="00E75B0C">
        <w:rPr>
          <w:rFonts w:ascii="Verdana" w:hAnsi="Verdana"/>
          <w:sz w:val="18"/>
          <w:szCs w:val="18"/>
        </w:rPr>
        <w:t>η διαφορά μεγαλώνει εις βάρος της Ελλάδ</w:t>
      </w:r>
      <w:r w:rsidR="00E50744" w:rsidRPr="00E75B0C">
        <w:rPr>
          <w:rFonts w:ascii="Verdana" w:hAnsi="Verdana"/>
          <w:sz w:val="18"/>
          <w:szCs w:val="18"/>
        </w:rPr>
        <w:t>α</w:t>
      </w:r>
      <w:r w:rsidR="00D657E4" w:rsidRPr="00E75B0C">
        <w:rPr>
          <w:rFonts w:ascii="Verdana" w:hAnsi="Verdana"/>
          <w:sz w:val="18"/>
          <w:szCs w:val="18"/>
        </w:rPr>
        <w:t>ς. Μ</w:t>
      </w:r>
      <w:r w:rsidR="002501F0" w:rsidRPr="00E75B0C">
        <w:rPr>
          <w:rFonts w:ascii="Verdana" w:hAnsi="Verdana"/>
          <w:sz w:val="18"/>
          <w:szCs w:val="18"/>
        </w:rPr>
        <w:t xml:space="preserve">πορεί </w:t>
      </w:r>
      <w:r w:rsidR="00D657E4" w:rsidRPr="00E75B0C">
        <w:rPr>
          <w:rFonts w:ascii="Verdana" w:hAnsi="Verdana"/>
          <w:sz w:val="18"/>
          <w:szCs w:val="18"/>
        </w:rPr>
        <w:t xml:space="preserve">δε </w:t>
      </w:r>
      <w:r w:rsidR="002501F0" w:rsidRPr="00E75B0C">
        <w:rPr>
          <w:rFonts w:ascii="Verdana" w:hAnsi="Verdana"/>
          <w:sz w:val="18"/>
          <w:szCs w:val="18"/>
        </w:rPr>
        <w:t xml:space="preserve">στην Πορτογαλία το </w:t>
      </w:r>
      <w:r w:rsidR="002501F0" w:rsidRPr="00E75B0C">
        <w:rPr>
          <w:rFonts w:ascii="Verdana" w:hAnsi="Verdana"/>
          <w:sz w:val="18"/>
          <w:szCs w:val="18"/>
        </w:rPr>
        <w:lastRenderedPageBreak/>
        <w:t xml:space="preserve">διαθέσιμο εισόδημα να είναι κατά 1.5% μικρότερο του ελληνικού, μα την ιδία στιγμή τα καθαρά χρηματοοικονομικά διαθέσιμα των </w:t>
      </w:r>
      <w:r w:rsidR="00BB3D37" w:rsidRPr="00E75B0C">
        <w:rPr>
          <w:rFonts w:ascii="Verdana" w:hAnsi="Verdana"/>
          <w:sz w:val="18"/>
          <w:szCs w:val="18"/>
        </w:rPr>
        <w:t xml:space="preserve">πορτογαλικών </w:t>
      </w:r>
      <w:r w:rsidR="002501F0" w:rsidRPr="00E75B0C">
        <w:rPr>
          <w:rFonts w:ascii="Verdana" w:hAnsi="Verdana"/>
          <w:sz w:val="18"/>
          <w:szCs w:val="18"/>
        </w:rPr>
        <w:t xml:space="preserve">νοικοκυριών είναι </w:t>
      </w:r>
      <w:r w:rsidR="00D657E4" w:rsidRPr="00E75B0C">
        <w:rPr>
          <w:rFonts w:ascii="Verdana" w:hAnsi="Verdana"/>
          <w:sz w:val="18"/>
          <w:szCs w:val="18"/>
        </w:rPr>
        <w:t>υπερ</w:t>
      </w:r>
      <w:r w:rsidR="002501F0" w:rsidRPr="00E75B0C">
        <w:rPr>
          <w:rFonts w:ascii="Verdana" w:hAnsi="Verdana"/>
          <w:sz w:val="18"/>
          <w:szCs w:val="18"/>
        </w:rPr>
        <w:t>διπλάσια των ελληνικών (</w:t>
      </w:r>
      <w:r w:rsidR="00D657E4" w:rsidRPr="00E75B0C">
        <w:rPr>
          <w:rFonts w:ascii="Verdana" w:hAnsi="Verdana"/>
          <w:sz w:val="18"/>
          <w:szCs w:val="18"/>
        </w:rPr>
        <w:t>κατά 112% περίπου)!</w:t>
      </w:r>
    </w:p>
    <w:p w:rsidR="0001402B" w:rsidRPr="00E75B0C" w:rsidRDefault="0001402B" w:rsidP="008F57C3">
      <w:pPr>
        <w:spacing w:line="240" w:lineRule="auto"/>
        <w:rPr>
          <w:rFonts w:ascii="Verdana" w:hAnsi="Verdana"/>
          <w:sz w:val="18"/>
          <w:szCs w:val="18"/>
        </w:rPr>
      </w:pPr>
    </w:p>
    <w:p w:rsidR="0001402B" w:rsidRPr="00E75B0C" w:rsidRDefault="0001402B" w:rsidP="008F57C3">
      <w:pPr>
        <w:spacing w:line="240" w:lineRule="auto"/>
        <w:rPr>
          <w:rFonts w:ascii="Verdana" w:hAnsi="Verdana"/>
          <w:b/>
          <w:sz w:val="18"/>
          <w:szCs w:val="18"/>
        </w:rPr>
      </w:pPr>
      <w:r w:rsidRPr="00E75B0C">
        <w:rPr>
          <w:rFonts w:ascii="Verdana" w:hAnsi="Verdana"/>
          <w:b/>
          <w:sz w:val="18"/>
          <w:szCs w:val="18"/>
        </w:rPr>
        <w:t xml:space="preserve">Τρίτη προσέγγιση: </w:t>
      </w:r>
      <w:r w:rsidR="00A06053" w:rsidRPr="00E75B0C">
        <w:rPr>
          <w:rFonts w:ascii="Verdana" w:hAnsi="Verdana"/>
          <w:b/>
          <w:sz w:val="18"/>
          <w:szCs w:val="18"/>
        </w:rPr>
        <w:t>Συνυπολογίζοντας παραοικονομία και κατανομές εισοδήματος και ιδιοκτησίας ακινήτων.</w:t>
      </w:r>
    </w:p>
    <w:p w:rsidR="00276C21" w:rsidRPr="00E75B0C" w:rsidRDefault="00276C21" w:rsidP="008F57C3">
      <w:pPr>
        <w:spacing w:line="240" w:lineRule="auto"/>
        <w:rPr>
          <w:rFonts w:ascii="Verdana" w:hAnsi="Verdana"/>
          <w:sz w:val="18"/>
          <w:szCs w:val="18"/>
        </w:rPr>
      </w:pPr>
      <w:r w:rsidRPr="00E75B0C">
        <w:rPr>
          <w:rFonts w:ascii="Verdana" w:hAnsi="Verdana"/>
          <w:sz w:val="18"/>
          <w:szCs w:val="18"/>
        </w:rPr>
        <w:t xml:space="preserve">Το θεωρητικό σχήμα παρουσιάζεται στο </w:t>
      </w:r>
      <w:proofErr w:type="spellStart"/>
      <w:r w:rsidRPr="00E75B0C">
        <w:rPr>
          <w:rFonts w:ascii="Verdana" w:hAnsi="Verdana"/>
          <w:sz w:val="18"/>
          <w:szCs w:val="18"/>
        </w:rPr>
        <w:t>Γράφ</w:t>
      </w:r>
      <w:proofErr w:type="spellEnd"/>
      <w:r w:rsidRPr="00E75B0C">
        <w:rPr>
          <w:rFonts w:ascii="Verdana" w:hAnsi="Verdana"/>
          <w:sz w:val="18"/>
          <w:szCs w:val="18"/>
        </w:rPr>
        <w:t>. 8:</w:t>
      </w:r>
    </w:p>
    <w:p w:rsidR="0001402B" w:rsidRPr="00E75B0C" w:rsidRDefault="0001402B" w:rsidP="008F57C3">
      <w:pPr>
        <w:spacing w:line="240" w:lineRule="auto"/>
        <w:rPr>
          <w:rFonts w:ascii="Verdana" w:hAnsi="Verdana"/>
          <w:sz w:val="18"/>
          <w:szCs w:val="18"/>
        </w:rPr>
      </w:pPr>
    </w:p>
    <w:p w:rsidR="0001402B" w:rsidRPr="00E75B0C" w:rsidRDefault="00276C21" w:rsidP="008F57C3">
      <w:pPr>
        <w:spacing w:line="240" w:lineRule="auto"/>
        <w:rPr>
          <w:rFonts w:ascii="Verdana" w:hAnsi="Verdana"/>
          <w:sz w:val="18"/>
          <w:szCs w:val="18"/>
        </w:rPr>
      </w:pPr>
      <w:r w:rsidRPr="00E75B0C">
        <w:rPr>
          <w:rFonts w:ascii="Verdana" w:hAnsi="Verdana"/>
          <w:sz w:val="18"/>
          <w:szCs w:val="18"/>
        </w:rPr>
        <w:object w:dxaOrig="7202" w:dyaOrig="5397">
          <v:shape id="_x0000_i1032" type="#_x0000_t75" style="width:5in;height:269.6pt" o:ole="">
            <v:imagedata r:id="rId25" o:title=""/>
          </v:shape>
          <o:OLEObject Type="Embed" ProgID="PowerPoint.Slide.12" ShapeID="_x0000_i1032" DrawAspect="Content" ObjectID="_1473071094" r:id="rId26"/>
        </w:object>
      </w:r>
    </w:p>
    <w:p w:rsidR="0001402B" w:rsidRPr="00E75B0C" w:rsidRDefault="00BB3D37" w:rsidP="00FD611D">
      <w:pPr>
        <w:pStyle w:val="a3"/>
        <w:numPr>
          <w:ilvl w:val="0"/>
          <w:numId w:val="3"/>
        </w:numPr>
        <w:spacing w:line="240" w:lineRule="auto"/>
        <w:rPr>
          <w:rFonts w:ascii="Verdana" w:hAnsi="Verdana"/>
          <w:sz w:val="18"/>
          <w:szCs w:val="18"/>
        </w:rPr>
      </w:pPr>
      <w:r w:rsidRPr="00E75B0C">
        <w:rPr>
          <w:rFonts w:ascii="Verdana" w:hAnsi="Verdana"/>
          <w:sz w:val="18"/>
          <w:szCs w:val="18"/>
        </w:rPr>
        <w:t xml:space="preserve">Σε κάθε κοινωνία ένα τμήμα των </w:t>
      </w:r>
      <w:r w:rsidR="00FD611D" w:rsidRPr="00E75B0C">
        <w:rPr>
          <w:rFonts w:ascii="Verdana" w:hAnsi="Verdana"/>
          <w:sz w:val="18"/>
          <w:szCs w:val="18"/>
        </w:rPr>
        <w:t xml:space="preserve">νοικοκυριών (το μεγαλύτερο συνήθως) πληρώνει φόρους εισοδήματος επί του συνόλου του εισοδήματός του. Αυτό το τμήμα δημιουργεί </w:t>
      </w:r>
      <w:r w:rsidR="00DC30FA" w:rsidRPr="00E75B0C">
        <w:rPr>
          <w:rFonts w:ascii="Verdana" w:hAnsi="Verdana"/>
          <w:sz w:val="18"/>
          <w:szCs w:val="18"/>
        </w:rPr>
        <w:t>ή αντιστοιχεί σ</w:t>
      </w:r>
      <w:r w:rsidR="00FD611D" w:rsidRPr="00E75B0C">
        <w:rPr>
          <w:rFonts w:ascii="Verdana" w:hAnsi="Verdana"/>
          <w:sz w:val="18"/>
          <w:szCs w:val="18"/>
        </w:rPr>
        <w:t xml:space="preserve">το λεγόμενο «επίσημο ΑΕΠ». </w:t>
      </w:r>
    </w:p>
    <w:p w:rsidR="00924D1B" w:rsidRPr="00E75B0C" w:rsidRDefault="00924D1B" w:rsidP="00924D1B">
      <w:pPr>
        <w:pStyle w:val="a3"/>
        <w:spacing w:line="240" w:lineRule="auto"/>
        <w:ind w:left="1080"/>
        <w:rPr>
          <w:rFonts w:ascii="Verdana" w:hAnsi="Verdana"/>
          <w:sz w:val="18"/>
          <w:szCs w:val="18"/>
        </w:rPr>
      </w:pPr>
    </w:p>
    <w:p w:rsidR="00FD611D" w:rsidRPr="00E75B0C" w:rsidRDefault="00E50744" w:rsidP="00FD611D">
      <w:pPr>
        <w:pStyle w:val="a3"/>
        <w:numPr>
          <w:ilvl w:val="0"/>
          <w:numId w:val="3"/>
        </w:numPr>
        <w:spacing w:line="240" w:lineRule="auto"/>
        <w:rPr>
          <w:rFonts w:ascii="Verdana" w:hAnsi="Verdana"/>
          <w:sz w:val="18"/>
          <w:szCs w:val="18"/>
        </w:rPr>
      </w:pPr>
      <w:r w:rsidRPr="00E75B0C">
        <w:rPr>
          <w:rFonts w:ascii="Verdana" w:hAnsi="Verdana"/>
          <w:sz w:val="18"/>
          <w:szCs w:val="18"/>
        </w:rPr>
        <w:t>Ένα</w:t>
      </w:r>
      <w:r w:rsidR="00FD611D" w:rsidRPr="00E75B0C">
        <w:rPr>
          <w:rFonts w:ascii="Verdana" w:hAnsi="Verdana"/>
          <w:sz w:val="18"/>
          <w:szCs w:val="18"/>
        </w:rPr>
        <w:t xml:space="preserve"> άλλο τμήμα, που έχει πολλές διαβαθμίσεις φοροδιαφυγής, πληρώνει φόρους για μέρος μόνο του εισοδήματός του, καθώς δε δηλώνει και κατορθώνει να </w:t>
      </w:r>
      <w:r w:rsidR="00DC30FA" w:rsidRPr="00E75B0C">
        <w:rPr>
          <w:rFonts w:ascii="Verdana" w:hAnsi="Verdana"/>
          <w:sz w:val="18"/>
          <w:szCs w:val="18"/>
        </w:rPr>
        <w:t>απο</w:t>
      </w:r>
      <w:r w:rsidR="00FD611D" w:rsidRPr="00E75B0C">
        <w:rPr>
          <w:rFonts w:ascii="Verdana" w:hAnsi="Verdana"/>
          <w:sz w:val="18"/>
          <w:szCs w:val="18"/>
        </w:rPr>
        <w:t xml:space="preserve">κρύπτει το υπόλοιπο. Αυτό το τμήμα δημιουργεί </w:t>
      </w:r>
      <w:r w:rsidR="00DC30FA" w:rsidRPr="00E75B0C">
        <w:rPr>
          <w:rFonts w:ascii="Verdana" w:hAnsi="Verdana"/>
          <w:sz w:val="18"/>
          <w:szCs w:val="18"/>
        </w:rPr>
        <w:t>ή αντιστοιχεί σ</w:t>
      </w:r>
      <w:r w:rsidR="00FD611D" w:rsidRPr="00E75B0C">
        <w:rPr>
          <w:rFonts w:ascii="Verdana" w:hAnsi="Verdana"/>
          <w:sz w:val="18"/>
          <w:szCs w:val="18"/>
        </w:rPr>
        <w:t xml:space="preserve">το λεγόμενο «ανεπίσημο ΑΕΠ». </w:t>
      </w:r>
    </w:p>
    <w:p w:rsidR="00924D1B" w:rsidRPr="00E75B0C" w:rsidRDefault="00924D1B" w:rsidP="00924D1B">
      <w:pPr>
        <w:pStyle w:val="a3"/>
        <w:rPr>
          <w:rFonts w:ascii="Verdana" w:hAnsi="Verdana"/>
          <w:sz w:val="18"/>
          <w:szCs w:val="18"/>
        </w:rPr>
      </w:pPr>
    </w:p>
    <w:p w:rsidR="00FD611D" w:rsidRPr="00E75B0C" w:rsidRDefault="00FD611D" w:rsidP="00FD611D">
      <w:pPr>
        <w:pStyle w:val="a3"/>
        <w:numPr>
          <w:ilvl w:val="0"/>
          <w:numId w:val="3"/>
        </w:numPr>
        <w:spacing w:line="240" w:lineRule="auto"/>
        <w:rPr>
          <w:rFonts w:ascii="Verdana" w:hAnsi="Verdana"/>
          <w:sz w:val="18"/>
          <w:szCs w:val="18"/>
        </w:rPr>
      </w:pPr>
      <w:r w:rsidRPr="00E75B0C">
        <w:rPr>
          <w:rFonts w:ascii="Verdana" w:hAnsi="Verdana"/>
          <w:sz w:val="18"/>
          <w:szCs w:val="18"/>
        </w:rPr>
        <w:t>Τώρα, οι φόροι εισοδήματος</w:t>
      </w:r>
      <w:r w:rsidR="00BB3D37" w:rsidRPr="00E75B0C">
        <w:rPr>
          <w:rFonts w:ascii="Verdana" w:hAnsi="Verdana"/>
          <w:sz w:val="18"/>
          <w:szCs w:val="18"/>
        </w:rPr>
        <w:t xml:space="preserve"> </w:t>
      </w:r>
      <w:r w:rsidR="002E42C3" w:rsidRPr="00E75B0C">
        <w:rPr>
          <w:rFonts w:ascii="Verdana" w:hAnsi="Verdana"/>
          <w:sz w:val="18"/>
          <w:szCs w:val="18"/>
        </w:rPr>
        <w:t>νοικοκυριών και εταιρειών</w:t>
      </w:r>
      <w:r w:rsidRPr="00E75B0C">
        <w:rPr>
          <w:rFonts w:ascii="Verdana" w:hAnsi="Verdana"/>
          <w:sz w:val="18"/>
          <w:szCs w:val="18"/>
        </w:rPr>
        <w:t xml:space="preserve"> λο</w:t>
      </w:r>
      <w:r w:rsidR="002E42C3" w:rsidRPr="00E75B0C">
        <w:rPr>
          <w:rFonts w:ascii="Verdana" w:hAnsi="Verdana"/>
          <w:sz w:val="18"/>
          <w:szCs w:val="18"/>
        </w:rPr>
        <w:t>γίζονται βάσει των επισήμων ή</w:t>
      </w:r>
      <w:r w:rsidR="00E50744" w:rsidRPr="00E75B0C">
        <w:rPr>
          <w:rFonts w:ascii="Verdana" w:hAnsi="Verdana"/>
          <w:sz w:val="18"/>
          <w:szCs w:val="18"/>
        </w:rPr>
        <w:t xml:space="preserve"> φανερών εισοδημάτων, που με τη</w:t>
      </w:r>
      <w:r w:rsidR="002E42C3" w:rsidRPr="00E75B0C">
        <w:rPr>
          <w:rFonts w:ascii="Verdana" w:hAnsi="Verdana"/>
          <w:sz w:val="18"/>
          <w:szCs w:val="18"/>
        </w:rPr>
        <w:t xml:space="preserve"> σειρά τ</w:t>
      </w:r>
      <w:r w:rsidR="00E50744" w:rsidRPr="00E75B0C">
        <w:rPr>
          <w:rFonts w:ascii="Verdana" w:hAnsi="Verdana"/>
          <w:sz w:val="18"/>
          <w:szCs w:val="18"/>
        </w:rPr>
        <w:t>ους</w:t>
      </w:r>
      <w:r w:rsidR="002E42C3" w:rsidRPr="00E75B0C">
        <w:rPr>
          <w:rFonts w:ascii="Verdana" w:hAnsi="Verdana"/>
          <w:sz w:val="18"/>
          <w:szCs w:val="18"/>
        </w:rPr>
        <w:t xml:space="preserve"> σχετίζονται με το επίσημο ή φανερό </w:t>
      </w:r>
      <w:r w:rsidRPr="00E75B0C">
        <w:rPr>
          <w:rFonts w:ascii="Verdana" w:hAnsi="Verdana"/>
          <w:sz w:val="18"/>
          <w:szCs w:val="18"/>
        </w:rPr>
        <w:t>ΑΕΠ.</w:t>
      </w:r>
      <w:r w:rsidR="002E42C3" w:rsidRPr="00E75B0C">
        <w:rPr>
          <w:rStyle w:val="a7"/>
          <w:rFonts w:ascii="Verdana" w:hAnsi="Verdana"/>
          <w:sz w:val="18"/>
          <w:szCs w:val="18"/>
        </w:rPr>
        <w:footnoteReference w:id="2"/>
      </w:r>
      <w:r w:rsidR="00E50744" w:rsidRPr="00E75B0C">
        <w:rPr>
          <w:rFonts w:ascii="Verdana" w:hAnsi="Verdana"/>
          <w:sz w:val="18"/>
          <w:szCs w:val="18"/>
        </w:rPr>
        <w:t xml:space="preserve"> Εστιάζοντας στα «</w:t>
      </w:r>
      <w:r w:rsidR="002E42C3" w:rsidRPr="00E75B0C">
        <w:rPr>
          <w:rFonts w:ascii="Verdana" w:hAnsi="Verdana"/>
          <w:sz w:val="18"/>
          <w:szCs w:val="18"/>
        </w:rPr>
        <w:t>νοικοκυριά</w:t>
      </w:r>
      <w:r w:rsidR="00E50744" w:rsidRPr="00E75B0C">
        <w:rPr>
          <w:rFonts w:ascii="Verdana" w:hAnsi="Verdana"/>
          <w:sz w:val="18"/>
          <w:szCs w:val="18"/>
        </w:rPr>
        <w:t>»</w:t>
      </w:r>
      <w:r w:rsidR="002E42C3" w:rsidRPr="00E75B0C">
        <w:rPr>
          <w:rFonts w:ascii="Verdana" w:hAnsi="Verdana"/>
          <w:sz w:val="18"/>
          <w:szCs w:val="18"/>
        </w:rPr>
        <w:t>, εί</w:t>
      </w:r>
      <w:r w:rsidR="00E50744" w:rsidRPr="00E75B0C">
        <w:rPr>
          <w:rFonts w:ascii="Verdana" w:hAnsi="Verdana"/>
          <w:sz w:val="18"/>
          <w:szCs w:val="18"/>
        </w:rPr>
        <w:t>ναι προφανές πως σε αυτή</w:t>
      </w:r>
      <w:r w:rsidRPr="00E75B0C">
        <w:rPr>
          <w:rFonts w:ascii="Verdana" w:hAnsi="Verdana"/>
          <w:sz w:val="18"/>
          <w:szCs w:val="18"/>
        </w:rPr>
        <w:t xml:space="preserve"> την </w:t>
      </w:r>
      <w:r w:rsidR="00BB3D37" w:rsidRPr="00E75B0C">
        <w:rPr>
          <w:rFonts w:ascii="Verdana" w:hAnsi="Verdana"/>
          <w:sz w:val="18"/>
          <w:szCs w:val="18"/>
        </w:rPr>
        <w:t>περίπτωση</w:t>
      </w:r>
      <w:r w:rsidRPr="00E75B0C">
        <w:rPr>
          <w:rFonts w:ascii="Verdana" w:hAnsi="Verdana"/>
          <w:sz w:val="18"/>
          <w:szCs w:val="18"/>
        </w:rPr>
        <w:t xml:space="preserve"> οι φόροι εισοδήματος επιβαρύ</w:t>
      </w:r>
      <w:r w:rsidR="00BB3D37" w:rsidRPr="00E75B0C">
        <w:rPr>
          <w:rFonts w:ascii="Verdana" w:hAnsi="Verdana"/>
          <w:sz w:val="18"/>
          <w:szCs w:val="18"/>
        </w:rPr>
        <w:t xml:space="preserve">νουν δυσανάλογα τμήμα μόνο των </w:t>
      </w:r>
      <w:r w:rsidRPr="00E75B0C">
        <w:rPr>
          <w:rFonts w:ascii="Verdana" w:hAnsi="Verdana"/>
          <w:sz w:val="18"/>
          <w:szCs w:val="18"/>
        </w:rPr>
        <w:t xml:space="preserve">νοικοκυριών: ως </w:t>
      </w:r>
      <w:r w:rsidR="00BB3D37" w:rsidRPr="00E75B0C">
        <w:rPr>
          <w:rFonts w:ascii="Verdana" w:hAnsi="Verdana"/>
          <w:sz w:val="18"/>
          <w:szCs w:val="18"/>
        </w:rPr>
        <w:t xml:space="preserve">% του αληθινού εισοδήματος των </w:t>
      </w:r>
      <w:r w:rsidRPr="00E75B0C">
        <w:rPr>
          <w:rFonts w:ascii="Verdana" w:hAnsi="Verdana"/>
          <w:sz w:val="18"/>
          <w:szCs w:val="18"/>
        </w:rPr>
        <w:t>νοικοκυριών το βάρος των φόρων είναι μεγαλύτερο ως πο</w:t>
      </w:r>
      <w:r w:rsidR="00BB3D37" w:rsidRPr="00E75B0C">
        <w:rPr>
          <w:rFonts w:ascii="Verdana" w:hAnsi="Verdana"/>
          <w:sz w:val="18"/>
          <w:szCs w:val="18"/>
        </w:rPr>
        <w:t xml:space="preserve">λύ μεγαλύτερο για το τμήμα των </w:t>
      </w:r>
      <w:r w:rsidRPr="00E75B0C">
        <w:rPr>
          <w:rFonts w:ascii="Verdana" w:hAnsi="Verdana"/>
          <w:sz w:val="18"/>
          <w:szCs w:val="18"/>
        </w:rPr>
        <w:t>νοικοκυριών, που δεν κατορθώνουν</w:t>
      </w:r>
      <w:r w:rsidR="00E50744" w:rsidRPr="00E75B0C">
        <w:rPr>
          <w:rFonts w:ascii="Verdana" w:hAnsi="Verdana"/>
          <w:sz w:val="18"/>
          <w:szCs w:val="18"/>
        </w:rPr>
        <w:t xml:space="preserve"> να αποκρύψουν εισόδημα και στο</w:t>
      </w:r>
      <w:r w:rsidRPr="00E75B0C">
        <w:rPr>
          <w:rFonts w:ascii="Verdana" w:hAnsi="Verdana"/>
          <w:sz w:val="18"/>
          <w:szCs w:val="18"/>
        </w:rPr>
        <w:t xml:space="preserve"> βαθμό που αυτό συμβαίνει. </w:t>
      </w:r>
    </w:p>
    <w:p w:rsidR="00924D1B" w:rsidRPr="00E75B0C" w:rsidRDefault="00924D1B" w:rsidP="00924D1B">
      <w:pPr>
        <w:pStyle w:val="a3"/>
        <w:rPr>
          <w:rFonts w:ascii="Verdana" w:hAnsi="Verdana"/>
          <w:sz w:val="18"/>
          <w:szCs w:val="18"/>
        </w:rPr>
      </w:pPr>
    </w:p>
    <w:p w:rsidR="00FD611D" w:rsidRPr="00E75B0C" w:rsidRDefault="00BB3D37" w:rsidP="00FD611D">
      <w:pPr>
        <w:pStyle w:val="a3"/>
        <w:numPr>
          <w:ilvl w:val="0"/>
          <w:numId w:val="3"/>
        </w:numPr>
        <w:spacing w:line="240" w:lineRule="auto"/>
        <w:rPr>
          <w:rFonts w:ascii="Verdana" w:hAnsi="Verdana"/>
          <w:sz w:val="18"/>
          <w:szCs w:val="18"/>
        </w:rPr>
      </w:pPr>
      <w:r w:rsidRPr="00E75B0C">
        <w:rPr>
          <w:rFonts w:ascii="Verdana" w:hAnsi="Verdana"/>
          <w:sz w:val="18"/>
          <w:szCs w:val="18"/>
        </w:rPr>
        <w:t>Έρχονται</w:t>
      </w:r>
      <w:r w:rsidR="0002692B" w:rsidRPr="00E75B0C">
        <w:rPr>
          <w:rFonts w:ascii="Verdana" w:hAnsi="Verdana"/>
          <w:sz w:val="18"/>
          <w:szCs w:val="18"/>
        </w:rPr>
        <w:t xml:space="preserve"> τώρα οι φόροι κατοχής ακινήτων. </w:t>
      </w:r>
      <w:r w:rsidR="009E1661" w:rsidRPr="00E75B0C">
        <w:rPr>
          <w:rFonts w:ascii="Verdana" w:hAnsi="Verdana"/>
          <w:sz w:val="18"/>
          <w:szCs w:val="18"/>
        </w:rPr>
        <w:t>Παρατηρούμε τα εξής:</w:t>
      </w:r>
    </w:p>
    <w:p w:rsidR="00924D1B" w:rsidRPr="00E75B0C" w:rsidRDefault="00924D1B" w:rsidP="00924D1B">
      <w:pPr>
        <w:pStyle w:val="a3"/>
        <w:spacing w:line="240" w:lineRule="auto"/>
        <w:ind w:left="1080"/>
        <w:rPr>
          <w:rFonts w:ascii="Verdana" w:hAnsi="Verdana"/>
          <w:sz w:val="18"/>
          <w:szCs w:val="18"/>
        </w:rPr>
      </w:pPr>
    </w:p>
    <w:p w:rsidR="009E764A" w:rsidRPr="00E75B0C" w:rsidRDefault="009E764A" w:rsidP="009E764A">
      <w:pPr>
        <w:pStyle w:val="a3"/>
        <w:numPr>
          <w:ilvl w:val="1"/>
          <w:numId w:val="3"/>
        </w:numPr>
        <w:spacing w:line="240" w:lineRule="auto"/>
        <w:rPr>
          <w:rFonts w:ascii="Verdana" w:hAnsi="Verdana"/>
          <w:sz w:val="18"/>
          <w:szCs w:val="18"/>
        </w:rPr>
      </w:pPr>
      <w:r w:rsidRPr="00E75B0C">
        <w:rPr>
          <w:rFonts w:ascii="Verdana" w:hAnsi="Verdana"/>
          <w:sz w:val="18"/>
          <w:szCs w:val="18"/>
        </w:rPr>
        <w:lastRenderedPageBreak/>
        <w:t xml:space="preserve">Ακόμη και αν υποθέσουμε πως η κατανομή εισοδημάτων και </w:t>
      </w:r>
      <w:r w:rsidR="00E50744" w:rsidRPr="00E75B0C">
        <w:rPr>
          <w:rFonts w:ascii="Verdana" w:hAnsi="Verdana"/>
          <w:sz w:val="18"/>
          <w:szCs w:val="18"/>
        </w:rPr>
        <w:t>ακίνητης</w:t>
      </w:r>
      <w:r w:rsidRPr="00E75B0C">
        <w:rPr>
          <w:rFonts w:ascii="Verdana" w:hAnsi="Verdana"/>
          <w:sz w:val="18"/>
          <w:szCs w:val="18"/>
        </w:rPr>
        <w:t xml:space="preserve"> περιουσίας είναι η ιδία για φορολογουμένους και φοροφυγάδες, το γεγονός ότι οι φορολογούμενοι πληρώνουν μεγαλύτερο ποσοστό των εισοδημάτων </w:t>
      </w:r>
      <w:r w:rsidR="00E50744" w:rsidRPr="00E75B0C">
        <w:rPr>
          <w:rFonts w:ascii="Verdana" w:hAnsi="Verdana"/>
          <w:sz w:val="18"/>
          <w:szCs w:val="18"/>
        </w:rPr>
        <w:t>τους</w:t>
      </w:r>
      <w:r w:rsidRPr="00E75B0C">
        <w:rPr>
          <w:rFonts w:ascii="Verdana" w:hAnsi="Verdana"/>
          <w:sz w:val="18"/>
          <w:szCs w:val="18"/>
        </w:rPr>
        <w:t xml:space="preserve"> σε φόρους εισοδήματος απ’ ότι οι φοροφυγάδες σημαίνει πως οι φόροι κατοχής επίσης επιβαρύνουν τους συνεπείς φορολογουμένους περισσότερο, καθώς πληρώνονται από μικρότερο διαθέσιμο εισόδημα (μετά δηλ. την πληρωμή φόρων εισοδήματος) απ’ </w:t>
      </w:r>
      <w:r w:rsidR="00E50744" w:rsidRPr="00E75B0C">
        <w:rPr>
          <w:rFonts w:ascii="Verdana" w:hAnsi="Verdana"/>
          <w:sz w:val="18"/>
          <w:szCs w:val="18"/>
        </w:rPr>
        <w:t>ότι</w:t>
      </w:r>
      <w:r w:rsidRPr="00E75B0C">
        <w:rPr>
          <w:rFonts w:ascii="Verdana" w:hAnsi="Verdana"/>
          <w:sz w:val="18"/>
          <w:szCs w:val="18"/>
        </w:rPr>
        <w:t xml:space="preserve"> συμβαίνει με τους φοροφυγάδες. </w:t>
      </w:r>
      <w:r w:rsidR="00BB3D37" w:rsidRPr="00E75B0C">
        <w:rPr>
          <w:rFonts w:ascii="Verdana" w:hAnsi="Verdana"/>
          <w:sz w:val="18"/>
          <w:szCs w:val="18"/>
        </w:rPr>
        <w:t>Άρα</w:t>
      </w:r>
      <w:r w:rsidRPr="00E75B0C">
        <w:rPr>
          <w:rFonts w:ascii="Verdana" w:hAnsi="Verdana"/>
          <w:sz w:val="18"/>
          <w:szCs w:val="18"/>
        </w:rPr>
        <w:t xml:space="preserve"> όσο μεγαλύτερο το (εκτιμώμενο) ποσοστό της παραοικονομίας σε μία χώρα, τόσο μεγαλύτερο, </w:t>
      </w:r>
      <w:r w:rsidRPr="00E75B0C">
        <w:rPr>
          <w:rFonts w:ascii="Verdana" w:hAnsi="Verdana"/>
          <w:sz w:val="18"/>
          <w:szCs w:val="18"/>
          <w:lang w:val="en-US"/>
        </w:rPr>
        <w:t>ceteris</w:t>
      </w:r>
      <w:r w:rsidRPr="00E75B0C">
        <w:rPr>
          <w:rFonts w:ascii="Verdana" w:hAnsi="Verdana"/>
          <w:sz w:val="18"/>
          <w:szCs w:val="18"/>
        </w:rPr>
        <w:t xml:space="preserve"> </w:t>
      </w:r>
      <w:r w:rsidRPr="00E75B0C">
        <w:rPr>
          <w:rFonts w:ascii="Verdana" w:hAnsi="Verdana"/>
          <w:sz w:val="18"/>
          <w:szCs w:val="18"/>
          <w:lang w:val="en-US"/>
        </w:rPr>
        <w:t>paribus</w:t>
      </w:r>
      <w:r w:rsidRPr="00E75B0C">
        <w:rPr>
          <w:rFonts w:ascii="Verdana" w:hAnsi="Verdana"/>
          <w:sz w:val="18"/>
          <w:szCs w:val="18"/>
        </w:rPr>
        <w:t xml:space="preserve">, το βάρος των φόρων κατοχής ακινήτων για τους συνεπείς φορολογουμένους. </w:t>
      </w:r>
    </w:p>
    <w:p w:rsidR="00924D1B" w:rsidRPr="00E75B0C" w:rsidRDefault="00924D1B" w:rsidP="00924D1B">
      <w:pPr>
        <w:pStyle w:val="a3"/>
        <w:spacing w:line="240" w:lineRule="auto"/>
        <w:ind w:left="1800"/>
        <w:rPr>
          <w:rFonts w:ascii="Verdana" w:hAnsi="Verdana"/>
          <w:sz w:val="18"/>
          <w:szCs w:val="18"/>
        </w:rPr>
      </w:pPr>
    </w:p>
    <w:p w:rsidR="009E764A" w:rsidRPr="00E75B0C" w:rsidRDefault="009E764A" w:rsidP="009E764A">
      <w:pPr>
        <w:pStyle w:val="a3"/>
        <w:numPr>
          <w:ilvl w:val="1"/>
          <w:numId w:val="3"/>
        </w:numPr>
        <w:spacing w:line="240" w:lineRule="auto"/>
        <w:rPr>
          <w:rFonts w:ascii="Verdana" w:hAnsi="Verdana"/>
          <w:sz w:val="18"/>
          <w:szCs w:val="18"/>
        </w:rPr>
      </w:pPr>
      <w:r w:rsidRPr="00E75B0C">
        <w:rPr>
          <w:rFonts w:ascii="Verdana" w:hAnsi="Verdana"/>
          <w:sz w:val="18"/>
          <w:szCs w:val="18"/>
        </w:rPr>
        <w:t>Παίζει</w:t>
      </w:r>
      <w:r w:rsidR="00E50744" w:rsidRPr="00E75B0C">
        <w:rPr>
          <w:rFonts w:ascii="Verdana" w:hAnsi="Verdana"/>
          <w:sz w:val="18"/>
          <w:szCs w:val="18"/>
        </w:rPr>
        <w:t>,</w:t>
      </w:r>
      <w:r w:rsidRPr="00E75B0C">
        <w:rPr>
          <w:rFonts w:ascii="Verdana" w:hAnsi="Verdana"/>
          <w:sz w:val="18"/>
          <w:szCs w:val="18"/>
        </w:rPr>
        <w:t xml:space="preserve"> </w:t>
      </w:r>
      <w:r w:rsidR="00E50744" w:rsidRPr="00E75B0C">
        <w:rPr>
          <w:rFonts w:ascii="Verdana" w:hAnsi="Verdana"/>
          <w:sz w:val="18"/>
          <w:szCs w:val="18"/>
        </w:rPr>
        <w:t>όμως,</w:t>
      </w:r>
      <w:r w:rsidRPr="00E75B0C">
        <w:rPr>
          <w:rFonts w:ascii="Verdana" w:hAnsi="Verdana"/>
          <w:sz w:val="18"/>
          <w:szCs w:val="18"/>
        </w:rPr>
        <w:t xml:space="preserve"> ρόλο και το αν η κατανομή εισοδημάτων είναι </w:t>
      </w:r>
      <w:r w:rsidR="00E50744" w:rsidRPr="00E75B0C">
        <w:rPr>
          <w:rFonts w:ascii="Verdana" w:hAnsi="Verdana"/>
          <w:sz w:val="18"/>
          <w:szCs w:val="18"/>
        </w:rPr>
        <w:t>ίδια</w:t>
      </w:r>
      <w:r w:rsidRPr="00E75B0C">
        <w:rPr>
          <w:rFonts w:ascii="Verdana" w:hAnsi="Verdana"/>
          <w:sz w:val="18"/>
          <w:szCs w:val="18"/>
        </w:rPr>
        <w:t xml:space="preserve"> με την κατανομή </w:t>
      </w:r>
      <w:r w:rsidR="00E50744" w:rsidRPr="00E75B0C">
        <w:rPr>
          <w:rFonts w:ascii="Verdana" w:hAnsi="Verdana"/>
          <w:sz w:val="18"/>
          <w:szCs w:val="18"/>
        </w:rPr>
        <w:t>ακίνητης</w:t>
      </w:r>
      <w:r w:rsidRPr="00E75B0C">
        <w:rPr>
          <w:rFonts w:ascii="Verdana" w:hAnsi="Verdana"/>
          <w:sz w:val="18"/>
          <w:szCs w:val="18"/>
        </w:rPr>
        <w:t xml:space="preserve"> περιουσίας σε κάθε μία απ’ τις 2 κατηγορίες που εξετάζουμε (συνεπείς φορολογούμενοι και φοροφυγάδες). </w:t>
      </w:r>
      <w:r w:rsidR="00B629E4" w:rsidRPr="00E75B0C">
        <w:rPr>
          <w:rFonts w:ascii="Verdana" w:hAnsi="Verdana"/>
          <w:sz w:val="18"/>
          <w:szCs w:val="18"/>
        </w:rPr>
        <w:t xml:space="preserve">Αν δεν είναι </w:t>
      </w:r>
      <w:r w:rsidR="00E50744" w:rsidRPr="00E75B0C">
        <w:rPr>
          <w:rFonts w:ascii="Verdana" w:hAnsi="Verdana"/>
          <w:sz w:val="18"/>
          <w:szCs w:val="18"/>
        </w:rPr>
        <w:t>ίδια</w:t>
      </w:r>
      <w:r w:rsidR="00B629E4" w:rsidRPr="00E75B0C">
        <w:rPr>
          <w:rFonts w:ascii="Verdana" w:hAnsi="Verdana"/>
          <w:sz w:val="18"/>
          <w:szCs w:val="18"/>
        </w:rPr>
        <w:t xml:space="preserve"> τότε, στο ανωτέρω πλαίσιο, το βάρος των φόρων κατοχής με</w:t>
      </w:r>
      <w:r w:rsidR="00BB3D37" w:rsidRPr="00E75B0C">
        <w:rPr>
          <w:rFonts w:ascii="Verdana" w:hAnsi="Verdana"/>
          <w:sz w:val="18"/>
          <w:szCs w:val="18"/>
        </w:rPr>
        <w:t xml:space="preserve">γαλώνει για την πλειοψηφία των </w:t>
      </w:r>
      <w:r w:rsidR="00B629E4" w:rsidRPr="00E75B0C">
        <w:rPr>
          <w:rFonts w:ascii="Verdana" w:hAnsi="Verdana"/>
          <w:sz w:val="18"/>
          <w:szCs w:val="18"/>
        </w:rPr>
        <w:t xml:space="preserve">νοικοκυριών τόσο περισσότερο όσο </w:t>
      </w:r>
      <w:r w:rsidR="00AB3E8F" w:rsidRPr="00E75B0C">
        <w:rPr>
          <w:rFonts w:ascii="Verdana" w:hAnsi="Verdana"/>
          <w:sz w:val="18"/>
          <w:szCs w:val="18"/>
        </w:rPr>
        <w:t>πιο</w:t>
      </w:r>
      <w:r w:rsidR="00B629E4" w:rsidRPr="00E75B0C">
        <w:rPr>
          <w:rFonts w:ascii="Verdana" w:hAnsi="Verdana"/>
          <w:sz w:val="18"/>
          <w:szCs w:val="18"/>
        </w:rPr>
        <w:t xml:space="preserve"> άνιση είναι η κατανομή των εισοδημάτων σε </w:t>
      </w:r>
      <w:r w:rsidR="00AB3E8F" w:rsidRPr="00E75B0C">
        <w:rPr>
          <w:rFonts w:ascii="Verdana" w:hAnsi="Verdana"/>
          <w:sz w:val="18"/>
          <w:szCs w:val="18"/>
        </w:rPr>
        <w:t>σχέση</w:t>
      </w:r>
      <w:r w:rsidR="00B629E4" w:rsidRPr="00E75B0C">
        <w:rPr>
          <w:rFonts w:ascii="Verdana" w:hAnsi="Verdana"/>
          <w:sz w:val="18"/>
          <w:szCs w:val="18"/>
        </w:rPr>
        <w:t xml:space="preserve"> με την κατανομή της </w:t>
      </w:r>
      <w:r w:rsidR="00E50744" w:rsidRPr="00E75B0C">
        <w:rPr>
          <w:rFonts w:ascii="Verdana" w:hAnsi="Verdana"/>
          <w:sz w:val="18"/>
          <w:szCs w:val="18"/>
        </w:rPr>
        <w:t>ακίνητης</w:t>
      </w:r>
      <w:r w:rsidR="00B629E4" w:rsidRPr="00E75B0C">
        <w:rPr>
          <w:rFonts w:ascii="Verdana" w:hAnsi="Verdana"/>
          <w:sz w:val="18"/>
          <w:szCs w:val="18"/>
        </w:rPr>
        <w:t xml:space="preserve"> περιουσίας. Π.χ., αν το </w:t>
      </w:r>
      <w:r w:rsidR="00B629E4" w:rsidRPr="00E75B0C">
        <w:rPr>
          <w:rFonts w:ascii="Verdana" w:hAnsi="Verdana"/>
          <w:sz w:val="18"/>
          <w:szCs w:val="18"/>
          <w:lang w:val="en-US"/>
        </w:rPr>
        <w:t>top</w:t>
      </w:r>
      <w:r w:rsidR="00B629E4" w:rsidRPr="00E75B0C">
        <w:rPr>
          <w:rFonts w:ascii="Verdana" w:hAnsi="Verdana"/>
          <w:sz w:val="18"/>
          <w:szCs w:val="18"/>
        </w:rPr>
        <w:t xml:space="preserve"> 10% των νοικοκυριών έχει 40% των εισοδημάτων, ενώ έχει μόνο το 20% της </w:t>
      </w:r>
      <w:r w:rsidR="00E50744" w:rsidRPr="00E75B0C">
        <w:rPr>
          <w:rFonts w:ascii="Verdana" w:hAnsi="Verdana"/>
          <w:sz w:val="18"/>
          <w:szCs w:val="18"/>
        </w:rPr>
        <w:t>ακίνητης</w:t>
      </w:r>
      <w:r w:rsidR="00B629E4" w:rsidRPr="00E75B0C">
        <w:rPr>
          <w:rFonts w:ascii="Verdana" w:hAnsi="Verdana"/>
          <w:sz w:val="18"/>
          <w:szCs w:val="18"/>
        </w:rPr>
        <w:t xml:space="preserve"> περιουσίας (σε φορολογητέα αξία), είναι προφανές πως οι φόροι κατοχής, ως % επί του εισοδήματος, επιβαρύνουν περισσότερο τα νοικοκυριά με χαμηλότερα εισοδήματα. Η </w:t>
      </w:r>
      <w:r w:rsidR="00B672FE" w:rsidRPr="00E75B0C">
        <w:rPr>
          <w:rFonts w:ascii="Verdana" w:hAnsi="Verdana"/>
          <w:sz w:val="18"/>
          <w:szCs w:val="18"/>
        </w:rPr>
        <w:t>Ελλάδα</w:t>
      </w:r>
      <w:r w:rsidR="00B629E4" w:rsidRPr="00E75B0C">
        <w:rPr>
          <w:rFonts w:ascii="Verdana" w:hAnsi="Verdana"/>
          <w:sz w:val="18"/>
          <w:szCs w:val="18"/>
        </w:rPr>
        <w:t>, ως γνωσ</w:t>
      </w:r>
      <w:r w:rsidR="003A4EC7" w:rsidRPr="00E75B0C">
        <w:rPr>
          <w:rFonts w:ascii="Verdana" w:hAnsi="Verdana"/>
          <w:sz w:val="18"/>
          <w:szCs w:val="18"/>
        </w:rPr>
        <w:t xml:space="preserve">τόν, χαρακτηρίζεται από </w:t>
      </w:r>
      <w:r w:rsidR="00BB3D37" w:rsidRPr="00E75B0C">
        <w:rPr>
          <w:rFonts w:ascii="Verdana" w:hAnsi="Verdana"/>
          <w:sz w:val="18"/>
          <w:szCs w:val="18"/>
        </w:rPr>
        <w:t>ευρύτατη</w:t>
      </w:r>
      <w:r w:rsidR="00B629E4" w:rsidRPr="00E75B0C">
        <w:rPr>
          <w:rFonts w:ascii="Verdana" w:hAnsi="Verdana"/>
          <w:sz w:val="18"/>
          <w:szCs w:val="18"/>
        </w:rPr>
        <w:t xml:space="preserve"> κατανομή της </w:t>
      </w:r>
      <w:r w:rsidR="00E50744" w:rsidRPr="00E75B0C">
        <w:rPr>
          <w:rFonts w:ascii="Verdana" w:hAnsi="Verdana"/>
          <w:sz w:val="18"/>
          <w:szCs w:val="18"/>
        </w:rPr>
        <w:t>ακίνητης</w:t>
      </w:r>
      <w:r w:rsidR="00B629E4" w:rsidRPr="00E75B0C">
        <w:rPr>
          <w:rFonts w:ascii="Verdana" w:hAnsi="Verdana"/>
          <w:sz w:val="18"/>
          <w:szCs w:val="18"/>
        </w:rPr>
        <w:t xml:space="preserve"> περιουσίας, ίσως την </w:t>
      </w:r>
      <w:r w:rsidR="00BB3D37" w:rsidRPr="00E75B0C">
        <w:rPr>
          <w:rFonts w:ascii="Verdana" w:hAnsi="Verdana"/>
          <w:sz w:val="18"/>
          <w:szCs w:val="18"/>
        </w:rPr>
        <w:t>ευρύτερη</w:t>
      </w:r>
      <w:r w:rsidR="00B629E4" w:rsidRPr="00E75B0C">
        <w:rPr>
          <w:rFonts w:ascii="Verdana" w:hAnsi="Verdana"/>
          <w:sz w:val="18"/>
          <w:szCs w:val="18"/>
        </w:rPr>
        <w:t xml:space="preserve"> στον Δυτικό κόσμο, </w:t>
      </w:r>
      <w:r w:rsidR="007C64C0" w:rsidRPr="00E75B0C">
        <w:rPr>
          <w:rFonts w:ascii="Verdana" w:hAnsi="Verdana"/>
          <w:sz w:val="18"/>
          <w:szCs w:val="18"/>
        </w:rPr>
        <w:t xml:space="preserve">ταυτοχρόνως δε, χαρακτηρίζεται από </w:t>
      </w:r>
      <w:r w:rsidR="00AB3E8F" w:rsidRPr="00E75B0C">
        <w:rPr>
          <w:rFonts w:ascii="Verdana" w:hAnsi="Verdana"/>
          <w:sz w:val="18"/>
          <w:szCs w:val="18"/>
        </w:rPr>
        <w:t>πιο</w:t>
      </w:r>
      <w:r w:rsidR="007C64C0" w:rsidRPr="00E75B0C">
        <w:rPr>
          <w:rFonts w:ascii="Verdana" w:hAnsi="Verdana"/>
          <w:sz w:val="18"/>
          <w:szCs w:val="18"/>
        </w:rPr>
        <w:t xml:space="preserve"> άνιση κατανομή εισοδημάτων απ’ </w:t>
      </w:r>
      <w:r w:rsidR="00E50744" w:rsidRPr="00E75B0C">
        <w:rPr>
          <w:rFonts w:ascii="Verdana" w:hAnsi="Verdana"/>
          <w:sz w:val="18"/>
          <w:szCs w:val="18"/>
        </w:rPr>
        <w:t>ότι</w:t>
      </w:r>
      <w:r w:rsidR="007C64C0" w:rsidRPr="00E75B0C">
        <w:rPr>
          <w:rFonts w:ascii="Verdana" w:hAnsi="Verdana"/>
          <w:sz w:val="18"/>
          <w:szCs w:val="18"/>
        </w:rPr>
        <w:t xml:space="preserve">, λ.χ., έχει η Σουηδία, </w:t>
      </w:r>
      <w:r w:rsidR="00B629E4" w:rsidRPr="00E75B0C">
        <w:rPr>
          <w:rFonts w:ascii="Verdana" w:hAnsi="Verdana"/>
          <w:sz w:val="18"/>
          <w:szCs w:val="18"/>
        </w:rPr>
        <w:t>πράγμα που από μόνο του σχεδόν σίγουρα μεγαλώνει το βάρος των φόρων κατοχής για την πλειοψηφία.</w:t>
      </w:r>
    </w:p>
    <w:p w:rsidR="00924D1B" w:rsidRPr="00E75B0C" w:rsidRDefault="00924D1B" w:rsidP="00924D1B">
      <w:pPr>
        <w:pStyle w:val="a3"/>
        <w:spacing w:line="240" w:lineRule="auto"/>
        <w:ind w:left="1800"/>
        <w:rPr>
          <w:rFonts w:ascii="Verdana" w:hAnsi="Verdana"/>
          <w:sz w:val="18"/>
          <w:szCs w:val="18"/>
        </w:rPr>
      </w:pPr>
    </w:p>
    <w:p w:rsidR="00B629E4" w:rsidRPr="00E75B0C" w:rsidRDefault="00B629E4" w:rsidP="009E764A">
      <w:pPr>
        <w:pStyle w:val="a3"/>
        <w:numPr>
          <w:ilvl w:val="1"/>
          <w:numId w:val="3"/>
        </w:numPr>
        <w:spacing w:line="240" w:lineRule="auto"/>
        <w:rPr>
          <w:rFonts w:ascii="Verdana" w:hAnsi="Verdana"/>
          <w:sz w:val="18"/>
          <w:szCs w:val="18"/>
        </w:rPr>
      </w:pPr>
      <w:r w:rsidRPr="00E75B0C">
        <w:rPr>
          <w:rFonts w:ascii="Verdana" w:hAnsi="Verdana"/>
          <w:sz w:val="18"/>
          <w:szCs w:val="18"/>
        </w:rPr>
        <w:t xml:space="preserve">Συνδυάζοντας τα ανωτέρω – παραοικονομία και κατανομές – προκύπτει πως, </w:t>
      </w:r>
      <w:r w:rsidR="009E1661" w:rsidRPr="00E75B0C">
        <w:rPr>
          <w:rFonts w:ascii="Verdana" w:hAnsi="Verdana"/>
          <w:sz w:val="18"/>
          <w:szCs w:val="18"/>
        </w:rPr>
        <w:t xml:space="preserve">ακόμη και </w:t>
      </w:r>
      <w:r w:rsidRPr="00E75B0C">
        <w:rPr>
          <w:rFonts w:ascii="Verdana" w:hAnsi="Verdana"/>
          <w:sz w:val="18"/>
          <w:szCs w:val="18"/>
        </w:rPr>
        <w:t xml:space="preserve">αν αι κατανομές εισοδημάτων και κατοχής </w:t>
      </w:r>
      <w:r w:rsidR="00E50744" w:rsidRPr="00E75B0C">
        <w:rPr>
          <w:rFonts w:ascii="Verdana" w:hAnsi="Verdana"/>
          <w:sz w:val="18"/>
          <w:szCs w:val="18"/>
        </w:rPr>
        <w:t>ακίνητης</w:t>
      </w:r>
      <w:r w:rsidRPr="00E75B0C">
        <w:rPr>
          <w:rFonts w:ascii="Verdana" w:hAnsi="Verdana"/>
          <w:sz w:val="18"/>
          <w:szCs w:val="18"/>
        </w:rPr>
        <w:t xml:space="preserve"> περιουσίας είναι ίδιες για συνεπείς φορολογουμένους και φοροφυγάδες, το βάρος των φόρων κατοχής για τους συνεπείς είναι τόσο μεγαλύτερο όσο</w:t>
      </w:r>
      <w:r w:rsidR="00E50744" w:rsidRPr="00E75B0C">
        <w:rPr>
          <w:rFonts w:ascii="Verdana" w:hAnsi="Verdana"/>
          <w:sz w:val="18"/>
          <w:szCs w:val="18"/>
        </w:rPr>
        <w:t xml:space="preserve"> μεγαλύτερη η παραοικονομία αφ</w:t>
      </w:r>
      <w:r w:rsidRPr="00E75B0C">
        <w:rPr>
          <w:rFonts w:ascii="Verdana" w:hAnsi="Verdana"/>
          <w:sz w:val="18"/>
          <w:szCs w:val="18"/>
        </w:rPr>
        <w:t xml:space="preserve">ενός, όσο </w:t>
      </w:r>
      <w:r w:rsidR="00AB3E8F" w:rsidRPr="00E75B0C">
        <w:rPr>
          <w:rFonts w:ascii="Verdana" w:hAnsi="Verdana"/>
          <w:sz w:val="18"/>
          <w:szCs w:val="18"/>
        </w:rPr>
        <w:t>πιο</w:t>
      </w:r>
      <w:r w:rsidRPr="00E75B0C">
        <w:rPr>
          <w:rFonts w:ascii="Verdana" w:hAnsi="Verdana"/>
          <w:sz w:val="18"/>
          <w:szCs w:val="18"/>
        </w:rPr>
        <w:t xml:space="preserve"> άνιση </w:t>
      </w:r>
      <w:r w:rsidR="009E1661" w:rsidRPr="00E75B0C">
        <w:rPr>
          <w:rFonts w:ascii="Verdana" w:hAnsi="Verdana"/>
          <w:sz w:val="18"/>
          <w:szCs w:val="18"/>
        </w:rPr>
        <w:t xml:space="preserve">εν γένει </w:t>
      </w:r>
      <w:r w:rsidRPr="00E75B0C">
        <w:rPr>
          <w:rFonts w:ascii="Verdana" w:hAnsi="Verdana"/>
          <w:sz w:val="18"/>
          <w:szCs w:val="18"/>
        </w:rPr>
        <w:t xml:space="preserve">η κατανομή εισοδημάτων σε </w:t>
      </w:r>
      <w:r w:rsidR="00AB3E8F" w:rsidRPr="00E75B0C">
        <w:rPr>
          <w:rFonts w:ascii="Verdana" w:hAnsi="Verdana"/>
          <w:sz w:val="18"/>
          <w:szCs w:val="18"/>
        </w:rPr>
        <w:t>σχέση</w:t>
      </w:r>
      <w:r w:rsidRPr="00E75B0C">
        <w:rPr>
          <w:rFonts w:ascii="Verdana" w:hAnsi="Verdana"/>
          <w:sz w:val="18"/>
          <w:szCs w:val="18"/>
        </w:rPr>
        <w:t xml:space="preserve"> με την κα</w:t>
      </w:r>
      <w:r w:rsidR="00E50744" w:rsidRPr="00E75B0C">
        <w:rPr>
          <w:rFonts w:ascii="Verdana" w:hAnsi="Verdana"/>
          <w:sz w:val="18"/>
          <w:szCs w:val="18"/>
        </w:rPr>
        <w:t xml:space="preserve">τανομή </w:t>
      </w:r>
      <w:r w:rsidR="00490400" w:rsidRPr="00E75B0C">
        <w:rPr>
          <w:rFonts w:ascii="Verdana" w:hAnsi="Verdana"/>
          <w:sz w:val="18"/>
          <w:szCs w:val="18"/>
        </w:rPr>
        <w:t>ακίνητης περιουσίας</w:t>
      </w:r>
      <w:r w:rsidR="00E50744" w:rsidRPr="00E75B0C">
        <w:rPr>
          <w:rFonts w:ascii="Verdana" w:hAnsi="Verdana"/>
          <w:sz w:val="18"/>
          <w:szCs w:val="18"/>
        </w:rPr>
        <w:t xml:space="preserve"> αφε</w:t>
      </w:r>
      <w:r w:rsidRPr="00E75B0C">
        <w:rPr>
          <w:rFonts w:ascii="Verdana" w:hAnsi="Verdana"/>
          <w:sz w:val="18"/>
          <w:szCs w:val="18"/>
        </w:rPr>
        <w:t xml:space="preserve">τέρου. </w:t>
      </w:r>
    </w:p>
    <w:p w:rsidR="00924D1B" w:rsidRPr="00E75B0C" w:rsidRDefault="00924D1B" w:rsidP="00924D1B">
      <w:pPr>
        <w:pStyle w:val="a3"/>
        <w:rPr>
          <w:rFonts w:ascii="Verdana" w:hAnsi="Verdana"/>
          <w:sz w:val="18"/>
          <w:szCs w:val="18"/>
        </w:rPr>
      </w:pPr>
    </w:p>
    <w:p w:rsidR="00B629E4" w:rsidRPr="00E75B0C" w:rsidRDefault="00B629E4" w:rsidP="009E764A">
      <w:pPr>
        <w:pStyle w:val="a3"/>
        <w:numPr>
          <w:ilvl w:val="1"/>
          <w:numId w:val="3"/>
        </w:numPr>
        <w:spacing w:line="240" w:lineRule="auto"/>
        <w:rPr>
          <w:rFonts w:ascii="Verdana" w:hAnsi="Verdana"/>
          <w:sz w:val="18"/>
          <w:szCs w:val="18"/>
        </w:rPr>
      </w:pPr>
      <w:r w:rsidRPr="00E75B0C">
        <w:rPr>
          <w:rFonts w:ascii="Verdana" w:hAnsi="Verdana"/>
          <w:sz w:val="18"/>
          <w:szCs w:val="18"/>
        </w:rPr>
        <w:t xml:space="preserve">Αν μάλιστα η σχέση αυτή (βαθμός </w:t>
      </w:r>
      <w:r w:rsidR="00BB3D37" w:rsidRPr="00E75B0C">
        <w:rPr>
          <w:rFonts w:ascii="Verdana" w:hAnsi="Verdana"/>
          <w:sz w:val="18"/>
          <w:szCs w:val="18"/>
        </w:rPr>
        <w:t>ανισότητας</w:t>
      </w:r>
      <w:r w:rsidR="009E1661" w:rsidRPr="00E75B0C">
        <w:rPr>
          <w:rFonts w:ascii="Verdana" w:hAnsi="Verdana"/>
          <w:sz w:val="18"/>
          <w:szCs w:val="18"/>
        </w:rPr>
        <w:t xml:space="preserve"> κατανομής εισοδημάτων σε </w:t>
      </w:r>
      <w:r w:rsidR="00AB3E8F" w:rsidRPr="00E75B0C">
        <w:rPr>
          <w:rFonts w:ascii="Verdana" w:hAnsi="Verdana"/>
          <w:sz w:val="18"/>
          <w:szCs w:val="18"/>
        </w:rPr>
        <w:t>σχέση</w:t>
      </w:r>
      <w:r w:rsidR="009E1661" w:rsidRPr="00E75B0C">
        <w:rPr>
          <w:rFonts w:ascii="Verdana" w:hAnsi="Verdana"/>
          <w:sz w:val="18"/>
          <w:szCs w:val="18"/>
        </w:rPr>
        <w:t xml:space="preserve"> με το βαθμό </w:t>
      </w:r>
      <w:r w:rsidR="00BB3D37" w:rsidRPr="00E75B0C">
        <w:rPr>
          <w:rFonts w:ascii="Verdana" w:hAnsi="Verdana"/>
          <w:sz w:val="18"/>
          <w:szCs w:val="18"/>
        </w:rPr>
        <w:t>ανισότητας</w:t>
      </w:r>
      <w:r w:rsidR="009E1661" w:rsidRPr="00E75B0C">
        <w:rPr>
          <w:rFonts w:ascii="Verdana" w:hAnsi="Verdana"/>
          <w:sz w:val="18"/>
          <w:szCs w:val="18"/>
        </w:rPr>
        <w:t xml:space="preserve"> κατανομής </w:t>
      </w:r>
      <w:r w:rsidR="00490400" w:rsidRPr="00E75B0C">
        <w:rPr>
          <w:rFonts w:ascii="Verdana" w:hAnsi="Verdana"/>
          <w:sz w:val="18"/>
          <w:szCs w:val="18"/>
        </w:rPr>
        <w:t>ακίνητης περιουσίας</w:t>
      </w:r>
      <w:r w:rsidR="009E1661" w:rsidRPr="00E75B0C">
        <w:rPr>
          <w:rFonts w:ascii="Verdana" w:hAnsi="Verdana"/>
          <w:sz w:val="18"/>
          <w:szCs w:val="18"/>
        </w:rPr>
        <w:t xml:space="preserve">) απολήγει σε μεγαλύτερη ανισότητα εισοδημάτων (σε </w:t>
      </w:r>
      <w:r w:rsidR="00AB3E8F" w:rsidRPr="00E75B0C">
        <w:rPr>
          <w:rFonts w:ascii="Verdana" w:hAnsi="Verdana"/>
          <w:sz w:val="18"/>
          <w:szCs w:val="18"/>
        </w:rPr>
        <w:t>σχέση</w:t>
      </w:r>
      <w:r w:rsidR="009E1661" w:rsidRPr="00E75B0C">
        <w:rPr>
          <w:rFonts w:ascii="Verdana" w:hAnsi="Verdana"/>
          <w:sz w:val="18"/>
          <w:szCs w:val="18"/>
        </w:rPr>
        <w:t xml:space="preserve"> με την κατοχή περιουσίας) στους συνεπείς φορολογουμένους απ’ </w:t>
      </w:r>
      <w:r w:rsidR="00E50744" w:rsidRPr="00E75B0C">
        <w:rPr>
          <w:rFonts w:ascii="Verdana" w:hAnsi="Verdana"/>
          <w:sz w:val="18"/>
          <w:szCs w:val="18"/>
        </w:rPr>
        <w:t>ότι</w:t>
      </w:r>
      <w:r w:rsidR="009E1661" w:rsidRPr="00E75B0C">
        <w:rPr>
          <w:rFonts w:ascii="Verdana" w:hAnsi="Verdana"/>
          <w:sz w:val="18"/>
          <w:szCs w:val="18"/>
        </w:rPr>
        <w:t xml:space="preserve"> στους φοροφυγάδες (πράγμα που δεν μπορούμε να το ξέρουμε), το βάρος των φόρων κατοχής για τους πρώτους γίνεται ακόμη μεγαλύτερο. </w:t>
      </w:r>
    </w:p>
    <w:p w:rsidR="00924D1B" w:rsidRPr="00E75B0C" w:rsidRDefault="00924D1B" w:rsidP="00924D1B">
      <w:pPr>
        <w:pStyle w:val="a3"/>
        <w:spacing w:line="240" w:lineRule="auto"/>
        <w:ind w:left="1800"/>
        <w:rPr>
          <w:rFonts w:ascii="Verdana" w:hAnsi="Verdana"/>
          <w:sz w:val="18"/>
          <w:szCs w:val="18"/>
        </w:rPr>
      </w:pPr>
    </w:p>
    <w:p w:rsidR="0001402B" w:rsidRPr="00E75B0C" w:rsidRDefault="009E1661" w:rsidP="009E1661">
      <w:pPr>
        <w:pStyle w:val="a3"/>
        <w:numPr>
          <w:ilvl w:val="0"/>
          <w:numId w:val="3"/>
        </w:numPr>
        <w:spacing w:line="240" w:lineRule="auto"/>
        <w:rPr>
          <w:rFonts w:ascii="Verdana" w:hAnsi="Verdana"/>
          <w:sz w:val="18"/>
          <w:szCs w:val="18"/>
        </w:rPr>
      </w:pPr>
      <w:r w:rsidRPr="00E75B0C">
        <w:rPr>
          <w:rFonts w:ascii="Verdana" w:hAnsi="Verdana"/>
          <w:sz w:val="18"/>
          <w:szCs w:val="18"/>
        </w:rPr>
        <w:t xml:space="preserve">Δυστυχώς (για τους </w:t>
      </w:r>
      <w:r w:rsidR="00BB3D37" w:rsidRPr="00E75B0C">
        <w:rPr>
          <w:rFonts w:ascii="Verdana" w:hAnsi="Verdana"/>
          <w:sz w:val="18"/>
          <w:szCs w:val="18"/>
        </w:rPr>
        <w:t>Έλληνες</w:t>
      </w:r>
      <w:r w:rsidRPr="00E75B0C">
        <w:rPr>
          <w:rFonts w:ascii="Verdana" w:hAnsi="Verdana"/>
          <w:sz w:val="18"/>
          <w:szCs w:val="18"/>
        </w:rPr>
        <w:t xml:space="preserve"> συνεπείς φορολογουμένους)</w:t>
      </w:r>
      <w:r w:rsidR="00490400" w:rsidRPr="00E75B0C">
        <w:rPr>
          <w:rFonts w:ascii="Verdana" w:hAnsi="Verdana"/>
          <w:sz w:val="18"/>
          <w:szCs w:val="18"/>
        </w:rPr>
        <w:t>,</w:t>
      </w:r>
      <w:r w:rsidRPr="00E75B0C">
        <w:rPr>
          <w:rFonts w:ascii="Verdana" w:hAnsi="Verdana"/>
          <w:sz w:val="18"/>
          <w:szCs w:val="18"/>
        </w:rPr>
        <w:t xml:space="preserve"> στην Ελλάδα όχι μόνο έχουμε </w:t>
      </w:r>
      <w:r w:rsidR="00BB3D37" w:rsidRPr="00E75B0C">
        <w:rPr>
          <w:rFonts w:ascii="Verdana" w:hAnsi="Verdana"/>
          <w:sz w:val="18"/>
          <w:szCs w:val="18"/>
        </w:rPr>
        <w:t>ευρύτατη</w:t>
      </w:r>
      <w:r w:rsidRPr="00E75B0C">
        <w:rPr>
          <w:rFonts w:ascii="Verdana" w:hAnsi="Verdana"/>
          <w:sz w:val="18"/>
          <w:szCs w:val="18"/>
        </w:rPr>
        <w:t xml:space="preserve"> κατανομή της ιδιοκτησίας ακινήτων, μα και το υψηλότερο ποσοστό παραοικονομίας στον (Δυτικό) κόσμο (δεν υπολογίζουμε πρώην Ανατολικές χώρες ή «τριτοκοσμικές» χώρες). Τα ποσοστά παραοικονομίας στις χώρες του Πίν. 1 παρουσιάζονται στον Πίν. 2:</w:t>
      </w:r>
    </w:p>
    <w:p w:rsidR="005E32C6" w:rsidRDefault="005E32C6">
      <w:pPr>
        <w:rPr>
          <w:rFonts w:ascii="Verdana" w:hAnsi="Verdana"/>
          <w:sz w:val="18"/>
          <w:szCs w:val="18"/>
        </w:rPr>
      </w:pPr>
      <w:r>
        <w:rPr>
          <w:rFonts w:ascii="Verdana" w:hAnsi="Verdana"/>
          <w:sz w:val="18"/>
          <w:szCs w:val="18"/>
        </w:rPr>
        <w:br w:type="page"/>
      </w:r>
    </w:p>
    <w:p w:rsidR="009E1661" w:rsidRPr="00E75B0C" w:rsidRDefault="009E1661" w:rsidP="009E1661">
      <w:pPr>
        <w:spacing w:line="240" w:lineRule="auto"/>
        <w:rPr>
          <w:rFonts w:ascii="Verdana" w:hAnsi="Verdana"/>
          <w:sz w:val="18"/>
          <w:szCs w:val="18"/>
        </w:rPr>
      </w:pPr>
    </w:p>
    <w:tbl>
      <w:tblPr>
        <w:tblW w:w="4060" w:type="dxa"/>
        <w:jc w:val="center"/>
        <w:tblInd w:w="108" w:type="dxa"/>
        <w:tblLook w:val="04A0" w:firstRow="1" w:lastRow="0" w:firstColumn="1" w:lastColumn="0" w:noHBand="0" w:noVBand="1"/>
      </w:tblPr>
      <w:tblGrid>
        <w:gridCol w:w="2681"/>
        <w:gridCol w:w="1364"/>
        <w:gridCol w:w="222"/>
      </w:tblGrid>
      <w:tr w:rsidR="00C41DFB" w:rsidRPr="00E75B0C" w:rsidTr="00C41DFB">
        <w:trPr>
          <w:trHeight w:val="1260"/>
          <w:jc w:val="center"/>
        </w:trPr>
        <w:tc>
          <w:tcPr>
            <w:tcW w:w="4060" w:type="dxa"/>
            <w:gridSpan w:val="3"/>
            <w:tcBorders>
              <w:top w:val="nil"/>
              <w:left w:val="nil"/>
              <w:bottom w:val="nil"/>
              <w:right w:val="nil"/>
            </w:tcBorders>
            <w:shd w:val="clear" w:color="auto" w:fill="auto"/>
            <w:vAlign w:val="bottom"/>
            <w:hideMark/>
          </w:tcPr>
          <w:p w:rsidR="00C41DFB" w:rsidRPr="00E75B0C" w:rsidRDefault="00DB6EF0"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xml:space="preserve">Πίν. 2: Μέγεθος παραοικονομίας </w:t>
            </w:r>
            <w:r w:rsidR="00C41DFB" w:rsidRPr="00E75B0C">
              <w:rPr>
                <w:rFonts w:ascii="Verdana" w:eastAsia="Times New Roman" w:hAnsi="Verdana" w:cs="Times New Roman"/>
                <w:color w:val="000000"/>
                <w:sz w:val="18"/>
                <w:szCs w:val="18"/>
                <w:lang w:eastAsia="el-GR"/>
              </w:rPr>
              <w:t>σε διάφορες χώρες ως % του ΑΕΠ, 2011</w:t>
            </w: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ΗΠΑ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7.0%</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Αυστραλία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10.1%</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Γερμανία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13.7%</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Καναδάς</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11.9%</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Γαλλία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11.0%</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Σουηδία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14.7%</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xml:space="preserve">Ην. </w:t>
            </w:r>
            <w:proofErr w:type="spellStart"/>
            <w:r w:rsidRPr="00E75B0C">
              <w:rPr>
                <w:rFonts w:ascii="Verdana" w:eastAsia="Times New Roman" w:hAnsi="Verdana" w:cs="Times New Roman"/>
                <w:color w:val="000000"/>
                <w:sz w:val="18"/>
                <w:szCs w:val="18"/>
                <w:lang w:eastAsia="el-GR"/>
              </w:rPr>
              <w:t>Βασ</w:t>
            </w:r>
            <w:proofErr w:type="spellEnd"/>
            <w:r w:rsidRPr="00E75B0C">
              <w:rPr>
                <w:rFonts w:ascii="Verdana" w:eastAsia="Times New Roman" w:hAnsi="Verdana" w:cs="Times New Roman"/>
                <w:color w:val="000000"/>
                <w:sz w:val="18"/>
                <w:szCs w:val="18"/>
                <w:lang w:eastAsia="el-GR"/>
              </w:rPr>
              <w:t>.</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11.0%</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Ιταλία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21.2%</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ΟΟΣΑ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16.3%</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Ισπανία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19.2%</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B672FE" w:rsidP="00C41DFB">
            <w:pPr>
              <w:spacing w:after="0" w:line="240" w:lineRule="auto"/>
              <w:jc w:val="left"/>
              <w:rPr>
                <w:rFonts w:ascii="Verdana" w:eastAsia="Times New Roman" w:hAnsi="Verdana" w:cs="Times New Roman"/>
                <w:color w:val="FF0000"/>
                <w:sz w:val="18"/>
                <w:szCs w:val="18"/>
                <w:lang w:eastAsia="el-GR"/>
              </w:rPr>
            </w:pPr>
            <w:r w:rsidRPr="00E75B0C">
              <w:rPr>
                <w:rFonts w:ascii="Verdana" w:eastAsia="Times New Roman" w:hAnsi="Verdana" w:cs="Times New Roman"/>
                <w:color w:val="FF0000"/>
                <w:sz w:val="18"/>
                <w:szCs w:val="18"/>
                <w:lang w:eastAsia="el-GR"/>
              </w:rPr>
              <w:t>Ελλάδα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FF0000"/>
                <w:sz w:val="18"/>
                <w:szCs w:val="18"/>
                <w:lang w:eastAsia="el-GR"/>
              </w:rPr>
            </w:pPr>
            <w:r w:rsidRPr="00E75B0C">
              <w:rPr>
                <w:rFonts w:ascii="Verdana" w:eastAsia="Times New Roman" w:hAnsi="Verdana" w:cs="Times New Roman"/>
                <w:color w:val="FF0000"/>
                <w:sz w:val="18"/>
                <w:szCs w:val="18"/>
                <w:lang w:eastAsia="el-GR"/>
              </w:rPr>
              <w:t>24.3%</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Πορτογαλία</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19.4%</w:t>
            </w: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300"/>
          <w:jc w:val="center"/>
        </w:trPr>
        <w:tc>
          <w:tcPr>
            <w:tcW w:w="2681"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xml:space="preserve">Πηγή: </w:t>
            </w:r>
          </w:p>
        </w:tc>
        <w:tc>
          <w:tcPr>
            <w:tcW w:w="1364"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c>
          <w:tcPr>
            <w:tcW w:w="15" w:type="dxa"/>
            <w:tcBorders>
              <w:top w:val="nil"/>
              <w:left w:val="nil"/>
              <w:bottom w:val="nil"/>
              <w:right w:val="nil"/>
            </w:tcBorders>
            <w:shd w:val="clear" w:color="auto" w:fill="auto"/>
            <w:noWrap/>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eastAsia="el-GR"/>
              </w:rPr>
            </w:pPr>
          </w:p>
        </w:tc>
      </w:tr>
      <w:tr w:rsidR="00C41DFB" w:rsidRPr="00E75B0C" w:rsidTr="00C41DFB">
        <w:trPr>
          <w:trHeight w:val="1290"/>
          <w:jc w:val="center"/>
        </w:trPr>
        <w:tc>
          <w:tcPr>
            <w:tcW w:w="4060" w:type="dxa"/>
            <w:gridSpan w:val="3"/>
            <w:tcBorders>
              <w:top w:val="nil"/>
              <w:left w:val="nil"/>
              <w:bottom w:val="nil"/>
              <w:right w:val="nil"/>
            </w:tcBorders>
            <w:shd w:val="clear" w:color="auto" w:fill="auto"/>
            <w:vAlign w:val="bottom"/>
            <w:hideMark/>
          </w:tcPr>
          <w:p w:rsidR="00C41DFB" w:rsidRPr="00E75B0C" w:rsidRDefault="00C41DFB" w:rsidP="00C41DFB">
            <w:pPr>
              <w:spacing w:after="0" w:line="240" w:lineRule="auto"/>
              <w:jc w:val="left"/>
              <w:rPr>
                <w:rFonts w:ascii="Verdana" w:eastAsia="Times New Roman" w:hAnsi="Verdana" w:cs="Times New Roman"/>
                <w:color w:val="000000"/>
                <w:sz w:val="18"/>
                <w:szCs w:val="18"/>
                <w:lang w:val="en-US" w:eastAsia="el-GR"/>
              </w:rPr>
            </w:pPr>
            <w:r w:rsidRPr="00E75B0C">
              <w:rPr>
                <w:rFonts w:ascii="Verdana" w:eastAsia="Times New Roman" w:hAnsi="Verdana" w:cs="Times New Roman"/>
                <w:color w:val="000000"/>
                <w:sz w:val="18"/>
                <w:szCs w:val="18"/>
                <w:lang w:val="en-US" w:eastAsia="el-GR"/>
              </w:rPr>
              <w:t xml:space="preserve">Schneider, F. (Dec. 2011): </w:t>
            </w:r>
            <w:r w:rsidRPr="00E75B0C">
              <w:rPr>
                <w:rFonts w:ascii="Verdana" w:eastAsia="Times New Roman" w:hAnsi="Verdana" w:cs="Times New Roman"/>
                <w:i/>
                <w:color w:val="000000"/>
                <w:sz w:val="18"/>
                <w:szCs w:val="18"/>
                <w:lang w:val="en-US" w:eastAsia="el-GR"/>
              </w:rPr>
              <w:t>Size and Development of the Shadow Economy of 31 European and 5 Other OECD Countries from 2003 to 2012: Some New Facts</w:t>
            </w:r>
            <w:r w:rsidRPr="00E75B0C">
              <w:rPr>
                <w:rFonts w:ascii="Verdana" w:eastAsia="Times New Roman" w:hAnsi="Verdana" w:cs="Times New Roman"/>
                <w:color w:val="000000"/>
                <w:sz w:val="18"/>
                <w:szCs w:val="18"/>
                <w:lang w:val="en-US" w:eastAsia="el-GR"/>
              </w:rPr>
              <w:t xml:space="preserve">. </w:t>
            </w:r>
          </w:p>
        </w:tc>
      </w:tr>
    </w:tbl>
    <w:p w:rsidR="009E1661" w:rsidRPr="00E75B0C" w:rsidRDefault="009E1661" w:rsidP="009E1661">
      <w:pPr>
        <w:spacing w:line="240" w:lineRule="auto"/>
        <w:rPr>
          <w:rFonts w:ascii="Verdana" w:hAnsi="Verdana"/>
          <w:sz w:val="18"/>
          <w:szCs w:val="18"/>
          <w:lang w:val="en-US"/>
        </w:rPr>
      </w:pPr>
    </w:p>
    <w:p w:rsidR="00C26DFB" w:rsidRPr="00E75B0C" w:rsidRDefault="00C26DFB" w:rsidP="009E1661">
      <w:pPr>
        <w:spacing w:line="240" w:lineRule="auto"/>
        <w:rPr>
          <w:rFonts w:ascii="Verdana" w:hAnsi="Verdana"/>
          <w:sz w:val="18"/>
          <w:szCs w:val="18"/>
        </w:rPr>
      </w:pPr>
      <w:r w:rsidRPr="00E75B0C">
        <w:rPr>
          <w:rFonts w:ascii="Verdana" w:hAnsi="Verdana"/>
          <w:sz w:val="18"/>
          <w:szCs w:val="18"/>
        </w:rPr>
        <w:t xml:space="preserve">Συμπέρασμα: </w:t>
      </w:r>
      <w:bookmarkStart w:id="0" w:name="_GoBack"/>
      <w:r w:rsidRPr="00E75B0C">
        <w:rPr>
          <w:rFonts w:ascii="Verdana" w:hAnsi="Verdana"/>
          <w:sz w:val="18"/>
          <w:szCs w:val="18"/>
        </w:rPr>
        <w:t xml:space="preserve">Βάσει και των τριών ανωτέρω προσεγγίσεων φαίνεται πως </w:t>
      </w:r>
      <w:r w:rsidR="00484186" w:rsidRPr="00E75B0C">
        <w:rPr>
          <w:rFonts w:ascii="Verdana" w:hAnsi="Verdana"/>
          <w:sz w:val="18"/>
          <w:szCs w:val="18"/>
        </w:rPr>
        <w:t xml:space="preserve">η </w:t>
      </w:r>
      <w:r w:rsidR="00B672FE" w:rsidRPr="00E75B0C">
        <w:rPr>
          <w:rFonts w:ascii="Verdana" w:hAnsi="Verdana"/>
          <w:sz w:val="18"/>
          <w:szCs w:val="18"/>
        </w:rPr>
        <w:t>Ελλάδα</w:t>
      </w:r>
      <w:r w:rsidR="00484186" w:rsidRPr="00E75B0C">
        <w:rPr>
          <w:rFonts w:ascii="Verdana" w:hAnsi="Verdana"/>
          <w:sz w:val="18"/>
          <w:szCs w:val="18"/>
        </w:rPr>
        <w:t xml:space="preserve"> χαρακτηρίζεται απ’ τους </w:t>
      </w:r>
      <w:r w:rsidR="00BB3D37" w:rsidRPr="00E75B0C">
        <w:rPr>
          <w:rFonts w:ascii="Verdana" w:hAnsi="Verdana"/>
          <w:sz w:val="18"/>
          <w:szCs w:val="18"/>
        </w:rPr>
        <w:t>βαρύτερους</w:t>
      </w:r>
      <w:r w:rsidR="00484186" w:rsidRPr="00E75B0C">
        <w:rPr>
          <w:rFonts w:ascii="Verdana" w:hAnsi="Verdana"/>
          <w:sz w:val="18"/>
          <w:szCs w:val="18"/>
        </w:rPr>
        <w:t xml:space="preserve"> φόρος κατοχής στον ανεπτυγμένο κόσμο (όσο τουλάχιστον αυτός εκπροσωπείται απ’ τις χώρες του Πίν. 1, στον οποίον, πάντως, περιλαμβάνεται ο ΟΟΣΑ ως σύνολο)</w:t>
      </w:r>
      <w:r w:rsidRPr="00E75B0C">
        <w:rPr>
          <w:rFonts w:ascii="Verdana" w:hAnsi="Verdana"/>
          <w:sz w:val="18"/>
          <w:szCs w:val="18"/>
        </w:rPr>
        <w:t>. Λαμβανομένου δε υπ’ όψιν πως τα σχετικά στοιχεία προέρχονται απ’ το 2011, ενώ κατόπιν οι φόροι αυτοί στην Ελλάδα αυξήθηκαν περαιτέρω</w:t>
      </w:r>
      <w:r w:rsidR="00484186" w:rsidRPr="00E75B0C">
        <w:rPr>
          <w:rFonts w:ascii="Verdana" w:hAnsi="Verdana"/>
          <w:sz w:val="18"/>
          <w:szCs w:val="18"/>
        </w:rPr>
        <w:t xml:space="preserve"> (μάλιστα σε περιβάλλον προϊούσης </w:t>
      </w:r>
      <w:r w:rsidR="00490400" w:rsidRPr="00E75B0C">
        <w:rPr>
          <w:rFonts w:ascii="Verdana" w:hAnsi="Verdana"/>
          <w:sz w:val="18"/>
          <w:szCs w:val="18"/>
        </w:rPr>
        <w:t>ύφεσης</w:t>
      </w:r>
      <w:r w:rsidR="00484186" w:rsidRPr="00E75B0C">
        <w:rPr>
          <w:rFonts w:ascii="Verdana" w:hAnsi="Verdana"/>
          <w:sz w:val="18"/>
          <w:szCs w:val="18"/>
        </w:rPr>
        <w:t>)</w:t>
      </w:r>
      <w:r w:rsidRPr="00E75B0C">
        <w:rPr>
          <w:rFonts w:ascii="Verdana" w:hAnsi="Verdana"/>
          <w:sz w:val="18"/>
          <w:szCs w:val="18"/>
        </w:rPr>
        <w:t xml:space="preserve">, προκύπτει πως το βάρος των φόρων κατοχής στην Ελλάδα είναι, απλά, εξωπραγματικό. Το βάρος μεγαλώνει κι άλλο αν σκεφθούμε πως, σε </w:t>
      </w:r>
      <w:r w:rsidR="00BB3D37" w:rsidRPr="00E75B0C">
        <w:rPr>
          <w:rFonts w:ascii="Verdana" w:hAnsi="Verdana"/>
          <w:sz w:val="18"/>
          <w:szCs w:val="18"/>
        </w:rPr>
        <w:t>αντίθεση</w:t>
      </w:r>
      <w:r w:rsidRPr="00E75B0C">
        <w:rPr>
          <w:rFonts w:ascii="Verdana" w:hAnsi="Verdana"/>
          <w:sz w:val="18"/>
          <w:szCs w:val="18"/>
        </w:rPr>
        <w:t xml:space="preserve"> με τις άλλες ανεπτυγμένες χώρες, οι φόροι αυτοί στην Ελλάδα δεν είναι ανταποδοτικοί. </w:t>
      </w:r>
    </w:p>
    <w:bookmarkEnd w:id="0"/>
    <w:p w:rsidR="00C41DFB" w:rsidRPr="00E75B0C" w:rsidRDefault="00C41DFB">
      <w:pPr>
        <w:rPr>
          <w:rFonts w:ascii="Verdana" w:hAnsi="Verdana"/>
          <w:sz w:val="18"/>
          <w:szCs w:val="18"/>
        </w:rPr>
      </w:pPr>
      <w:r w:rsidRPr="00E75B0C">
        <w:rPr>
          <w:rFonts w:ascii="Verdana" w:hAnsi="Verdana"/>
          <w:sz w:val="18"/>
          <w:szCs w:val="18"/>
        </w:rPr>
        <w:br w:type="page"/>
      </w:r>
    </w:p>
    <w:p w:rsidR="009E1661" w:rsidRPr="00E75B0C" w:rsidRDefault="00C41DFB" w:rsidP="00EC7CAD">
      <w:pPr>
        <w:spacing w:line="240" w:lineRule="auto"/>
        <w:jc w:val="center"/>
        <w:rPr>
          <w:rFonts w:ascii="Verdana" w:hAnsi="Verdana"/>
          <w:b/>
          <w:sz w:val="18"/>
          <w:szCs w:val="18"/>
        </w:rPr>
      </w:pPr>
      <w:r w:rsidRPr="00E75B0C">
        <w:rPr>
          <w:rFonts w:ascii="Verdana" w:hAnsi="Verdana"/>
          <w:b/>
          <w:sz w:val="18"/>
          <w:szCs w:val="18"/>
        </w:rPr>
        <w:lastRenderedPageBreak/>
        <w:t>Φόροι ακινήτων</w:t>
      </w:r>
      <w:r w:rsidR="00EC7CAD" w:rsidRPr="00E75B0C">
        <w:rPr>
          <w:rFonts w:ascii="Verdana" w:hAnsi="Verdana"/>
          <w:b/>
          <w:sz w:val="18"/>
          <w:szCs w:val="18"/>
        </w:rPr>
        <w:t xml:space="preserve"> (πλην φόρων κληρονομίας/γονικής παροχής και φόρων εισοδήματος από ακίνητα)</w:t>
      </w:r>
      <w:r w:rsidR="00BB3D37" w:rsidRPr="00E75B0C">
        <w:rPr>
          <w:rFonts w:ascii="Verdana" w:hAnsi="Verdana"/>
          <w:b/>
          <w:sz w:val="18"/>
          <w:szCs w:val="18"/>
        </w:rPr>
        <w:t xml:space="preserve"> των </w:t>
      </w:r>
      <w:r w:rsidR="006233FD" w:rsidRPr="00E75B0C">
        <w:rPr>
          <w:rFonts w:ascii="Verdana" w:hAnsi="Verdana"/>
          <w:b/>
          <w:sz w:val="18"/>
          <w:szCs w:val="18"/>
        </w:rPr>
        <w:t>νοικοκυριών</w:t>
      </w:r>
      <w:r w:rsidRPr="00E75B0C">
        <w:rPr>
          <w:rFonts w:ascii="Verdana" w:hAnsi="Verdana"/>
          <w:b/>
          <w:sz w:val="18"/>
          <w:szCs w:val="18"/>
        </w:rPr>
        <w:t xml:space="preserve"> σε Γαλλία, Γερμανία, Ην. Βασίλειο</w:t>
      </w:r>
    </w:p>
    <w:p w:rsidR="005E32C6" w:rsidRDefault="005E32C6" w:rsidP="009E1661">
      <w:pPr>
        <w:spacing w:line="240" w:lineRule="auto"/>
        <w:rPr>
          <w:rFonts w:ascii="Verdana" w:hAnsi="Verdana"/>
          <w:sz w:val="18"/>
          <w:szCs w:val="18"/>
        </w:rPr>
      </w:pPr>
    </w:p>
    <w:p w:rsidR="009E1661" w:rsidRPr="005E32C6" w:rsidRDefault="002D0C02" w:rsidP="009E1661">
      <w:pPr>
        <w:spacing w:line="240" w:lineRule="auto"/>
        <w:rPr>
          <w:rFonts w:ascii="Verdana" w:hAnsi="Verdana"/>
          <w:b/>
          <w:sz w:val="20"/>
          <w:szCs w:val="18"/>
        </w:rPr>
      </w:pPr>
      <w:r w:rsidRPr="005E32C6">
        <w:rPr>
          <w:rFonts w:ascii="Verdana" w:hAnsi="Verdana"/>
          <w:b/>
          <w:sz w:val="20"/>
          <w:szCs w:val="18"/>
        </w:rPr>
        <w:t>Γαλλία</w:t>
      </w:r>
    </w:p>
    <w:p w:rsidR="00375D8F" w:rsidRPr="00E75B0C" w:rsidRDefault="00375D8F" w:rsidP="009E1661">
      <w:pPr>
        <w:spacing w:line="240" w:lineRule="auto"/>
        <w:rPr>
          <w:rFonts w:ascii="Verdana" w:hAnsi="Verdana"/>
          <w:sz w:val="18"/>
          <w:szCs w:val="18"/>
        </w:rPr>
      </w:pPr>
    </w:p>
    <w:p w:rsidR="00375D8F" w:rsidRPr="00E75B0C" w:rsidRDefault="00375D8F" w:rsidP="00375D8F">
      <w:pPr>
        <w:spacing w:line="240" w:lineRule="auto"/>
        <w:rPr>
          <w:rFonts w:ascii="Verdana" w:hAnsi="Verdana"/>
          <w:b/>
          <w:sz w:val="18"/>
          <w:szCs w:val="18"/>
        </w:rPr>
      </w:pPr>
      <w:r w:rsidRPr="00E75B0C">
        <w:rPr>
          <w:rFonts w:ascii="Verdana" w:hAnsi="Verdana"/>
          <w:b/>
          <w:sz w:val="18"/>
          <w:szCs w:val="18"/>
        </w:rPr>
        <w:t>(Α) Φόροι &amp; συμβολαιογραφικά έξοδα αγοράς κτισμένου ακινήτου.</w:t>
      </w:r>
    </w:p>
    <w:p w:rsidR="00375D8F" w:rsidRPr="00E75B0C" w:rsidRDefault="00375D8F" w:rsidP="00375D8F">
      <w:pPr>
        <w:spacing w:line="240" w:lineRule="auto"/>
        <w:rPr>
          <w:rFonts w:ascii="Verdana" w:hAnsi="Verdana"/>
          <w:sz w:val="18"/>
          <w:szCs w:val="18"/>
        </w:rPr>
      </w:pPr>
      <w:r w:rsidRPr="00E75B0C">
        <w:rPr>
          <w:rFonts w:ascii="Verdana" w:hAnsi="Verdana"/>
          <w:sz w:val="18"/>
          <w:szCs w:val="18"/>
        </w:rPr>
        <w:t xml:space="preserve">Λέγονται </w:t>
      </w:r>
      <w:proofErr w:type="spellStart"/>
      <w:r w:rsidRPr="00E75B0C">
        <w:rPr>
          <w:rFonts w:ascii="Verdana" w:eastAsia="Times New Roman" w:hAnsi="Verdana" w:cs="Arial"/>
          <w:color w:val="000000"/>
          <w:sz w:val="18"/>
          <w:szCs w:val="18"/>
          <w:lang w:val="en-US" w:eastAsia="el-GR"/>
        </w:rPr>
        <w:t>frais</w:t>
      </w:r>
      <w:proofErr w:type="spellEnd"/>
      <w:r w:rsidRPr="00E75B0C">
        <w:rPr>
          <w:rFonts w:ascii="Verdana" w:eastAsia="Times New Roman" w:hAnsi="Verdana" w:cs="Arial"/>
          <w:color w:val="000000"/>
          <w:sz w:val="18"/>
          <w:szCs w:val="18"/>
          <w:lang w:eastAsia="el-GR"/>
        </w:rPr>
        <w:t xml:space="preserve"> </w:t>
      </w:r>
      <w:r w:rsidRPr="00E75B0C">
        <w:rPr>
          <w:rFonts w:ascii="Verdana" w:eastAsia="Times New Roman" w:hAnsi="Verdana" w:cs="Arial"/>
          <w:color w:val="000000"/>
          <w:sz w:val="18"/>
          <w:szCs w:val="18"/>
          <w:lang w:val="en-US" w:eastAsia="el-GR"/>
        </w:rPr>
        <w:t>de</w:t>
      </w:r>
      <w:r w:rsidRPr="00E75B0C">
        <w:rPr>
          <w:rFonts w:ascii="Verdana" w:eastAsia="Times New Roman" w:hAnsi="Verdana" w:cs="Arial"/>
          <w:color w:val="000000"/>
          <w:sz w:val="18"/>
          <w:szCs w:val="18"/>
          <w:lang w:eastAsia="el-GR"/>
        </w:rPr>
        <w:t xml:space="preserve"> </w:t>
      </w:r>
      <w:proofErr w:type="spellStart"/>
      <w:r w:rsidRPr="00E75B0C">
        <w:rPr>
          <w:rFonts w:ascii="Verdana" w:eastAsia="Times New Roman" w:hAnsi="Verdana" w:cs="Arial"/>
          <w:color w:val="000000"/>
          <w:sz w:val="18"/>
          <w:szCs w:val="18"/>
          <w:lang w:val="en-US" w:eastAsia="el-GR"/>
        </w:rPr>
        <w:t>notaire</w:t>
      </w:r>
      <w:proofErr w:type="spellEnd"/>
      <w:r w:rsidRPr="00E75B0C">
        <w:rPr>
          <w:rFonts w:ascii="Verdana" w:hAnsi="Verdana"/>
          <w:sz w:val="18"/>
          <w:szCs w:val="18"/>
        </w:rPr>
        <w:t>, κυμαίνοντα</w:t>
      </w:r>
      <w:r w:rsidR="0048710F" w:rsidRPr="00E75B0C">
        <w:rPr>
          <w:rFonts w:ascii="Verdana" w:hAnsi="Verdana"/>
          <w:sz w:val="18"/>
          <w:szCs w:val="18"/>
        </w:rPr>
        <w:t xml:space="preserve">ι από 7% ως 10% της τιμής </w:t>
      </w:r>
      <w:r w:rsidR="00490400" w:rsidRPr="00E75B0C">
        <w:rPr>
          <w:rFonts w:ascii="Verdana" w:hAnsi="Verdana"/>
          <w:sz w:val="18"/>
          <w:szCs w:val="18"/>
        </w:rPr>
        <w:t>πώλησης</w:t>
      </w:r>
      <w:r w:rsidRPr="00E75B0C">
        <w:rPr>
          <w:rFonts w:ascii="Verdana" w:hAnsi="Verdana"/>
          <w:sz w:val="18"/>
          <w:szCs w:val="18"/>
        </w:rPr>
        <w:t>, και περιλαμβάνουν:</w:t>
      </w:r>
    </w:p>
    <w:p w:rsidR="00375D8F" w:rsidRPr="00E75B0C" w:rsidRDefault="00375D8F" w:rsidP="00375D8F">
      <w:pPr>
        <w:pStyle w:val="a3"/>
        <w:numPr>
          <w:ilvl w:val="0"/>
          <w:numId w:val="3"/>
        </w:numPr>
        <w:spacing w:line="240" w:lineRule="auto"/>
        <w:rPr>
          <w:rFonts w:ascii="Verdana" w:hAnsi="Verdana"/>
          <w:sz w:val="18"/>
          <w:szCs w:val="18"/>
        </w:rPr>
      </w:pPr>
      <w:r w:rsidRPr="00E75B0C">
        <w:rPr>
          <w:rFonts w:ascii="Verdana" w:hAnsi="Verdana"/>
          <w:sz w:val="18"/>
          <w:szCs w:val="18"/>
        </w:rPr>
        <w:t>Την αμοιβή του συμβολαιογράφου και άλλα άμεσα κόστη.</w:t>
      </w:r>
    </w:p>
    <w:p w:rsidR="0048710F" w:rsidRPr="00E75B0C" w:rsidRDefault="00BB3D37" w:rsidP="00375D8F">
      <w:pPr>
        <w:pStyle w:val="a3"/>
        <w:numPr>
          <w:ilvl w:val="0"/>
          <w:numId w:val="3"/>
        </w:numPr>
        <w:spacing w:line="240" w:lineRule="auto"/>
        <w:rPr>
          <w:rFonts w:ascii="Verdana" w:hAnsi="Verdana"/>
          <w:sz w:val="18"/>
          <w:szCs w:val="18"/>
        </w:rPr>
      </w:pPr>
      <w:r w:rsidRPr="00E75B0C">
        <w:rPr>
          <w:rFonts w:ascii="Verdana" w:hAnsi="Verdana"/>
          <w:sz w:val="18"/>
          <w:szCs w:val="18"/>
        </w:rPr>
        <w:t>Έξοδα</w:t>
      </w:r>
      <w:r w:rsidR="0048710F" w:rsidRPr="00E75B0C">
        <w:rPr>
          <w:rFonts w:ascii="Verdana" w:hAnsi="Verdana"/>
          <w:sz w:val="18"/>
          <w:szCs w:val="18"/>
        </w:rPr>
        <w:t xml:space="preserve"> </w:t>
      </w:r>
      <w:r w:rsidRPr="00E75B0C">
        <w:rPr>
          <w:rFonts w:ascii="Verdana" w:hAnsi="Verdana"/>
          <w:sz w:val="18"/>
          <w:szCs w:val="18"/>
        </w:rPr>
        <w:t>ενυπόθηκου</w:t>
      </w:r>
      <w:r w:rsidR="0048710F" w:rsidRPr="00E75B0C">
        <w:rPr>
          <w:rFonts w:ascii="Verdana" w:hAnsi="Verdana"/>
          <w:sz w:val="18"/>
          <w:szCs w:val="18"/>
        </w:rPr>
        <w:t xml:space="preserve"> δανείου (αν είναι τέτοια η περίπτωση).</w:t>
      </w:r>
    </w:p>
    <w:p w:rsidR="00375D8F" w:rsidRPr="00E75B0C" w:rsidRDefault="00375D8F" w:rsidP="00375D8F">
      <w:pPr>
        <w:pStyle w:val="a3"/>
        <w:numPr>
          <w:ilvl w:val="0"/>
          <w:numId w:val="3"/>
        </w:numPr>
        <w:spacing w:line="240" w:lineRule="auto"/>
        <w:rPr>
          <w:rFonts w:ascii="Verdana" w:hAnsi="Verdana"/>
          <w:sz w:val="18"/>
          <w:szCs w:val="18"/>
        </w:rPr>
      </w:pPr>
      <w:r w:rsidRPr="00E75B0C">
        <w:rPr>
          <w:rFonts w:ascii="Verdana" w:hAnsi="Verdana"/>
          <w:sz w:val="18"/>
          <w:szCs w:val="18"/>
        </w:rPr>
        <w:t xml:space="preserve">Φόρους </w:t>
      </w:r>
      <w:r w:rsidR="00B672FE" w:rsidRPr="00E75B0C">
        <w:rPr>
          <w:rFonts w:ascii="Verdana" w:hAnsi="Verdana"/>
          <w:sz w:val="18"/>
          <w:szCs w:val="18"/>
        </w:rPr>
        <w:t>μεταβίβασης</w:t>
      </w:r>
      <w:r w:rsidRPr="00E75B0C">
        <w:rPr>
          <w:rFonts w:ascii="Verdana" w:hAnsi="Verdana"/>
          <w:sz w:val="18"/>
          <w:szCs w:val="18"/>
        </w:rPr>
        <w:t>.</w:t>
      </w:r>
    </w:p>
    <w:p w:rsidR="00375D8F" w:rsidRPr="00E75B0C" w:rsidRDefault="00375D8F" w:rsidP="00375D8F">
      <w:pPr>
        <w:spacing w:line="240" w:lineRule="auto"/>
        <w:rPr>
          <w:rFonts w:ascii="Verdana" w:hAnsi="Verdana"/>
          <w:sz w:val="18"/>
          <w:szCs w:val="18"/>
        </w:rPr>
      </w:pPr>
    </w:p>
    <w:tbl>
      <w:tblPr>
        <w:tblStyle w:val="a8"/>
        <w:tblW w:w="0" w:type="auto"/>
        <w:tblLook w:val="04A0" w:firstRow="1" w:lastRow="0" w:firstColumn="1" w:lastColumn="0" w:noHBand="0" w:noVBand="1"/>
      </w:tblPr>
      <w:tblGrid>
        <w:gridCol w:w="4264"/>
        <w:gridCol w:w="4264"/>
      </w:tblGrid>
      <w:tr w:rsidR="00751ABD" w:rsidRPr="00E75B0C" w:rsidTr="00B30D90">
        <w:tc>
          <w:tcPr>
            <w:tcW w:w="8528" w:type="dxa"/>
            <w:gridSpan w:val="2"/>
          </w:tcPr>
          <w:p w:rsidR="00751ABD" w:rsidRPr="00E75B0C" w:rsidRDefault="00751ABD" w:rsidP="00751ABD">
            <w:pPr>
              <w:jc w:val="center"/>
              <w:rPr>
                <w:rFonts w:ascii="Verdana" w:hAnsi="Verdana"/>
                <w:sz w:val="18"/>
                <w:szCs w:val="18"/>
              </w:rPr>
            </w:pPr>
            <w:r w:rsidRPr="00E75B0C">
              <w:rPr>
                <w:rFonts w:ascii="Verdana" w:hAnsi="Verdana"/>
                <w:sz w:val="18"/>
                <w:szCs w:val="18"/>
              </w:rPr>
              <w:t>Συμβολαιογραφικά</w:t>
            </w:r>
          </w:p>
        </w:tc>
      </w:tr>
      <w:tr w:rsidR="00751ABD" w:rsidRPr="00E75B0C" w:rsidTr="00751ABD">
        <w:tc>
          <w:tcPr>
            <w:tcW w:w="4264" w:type="dxa"/>
          </w:tcPr>
          <w:p w:rsidR="00751ABD" w:rsidRPr="00E75B0C" w:rsidRDefault="00751ABD" w:rsidP="00375D8F">
            <w:pPr>
              <w:rPr>
                <w:rFonts w:ascii="Verdana" w:hAnsi="Verdana"/>
                <w:sz w:val="18"/>
                <w:szCs w:val="18"/>
              </w:rPr>
            </w:pPr>
          </w:p>
        </w:tc>
        <w:tc>
          <w:tcPr>
            <w:tcW w:w="4264" w:type="dxa"/>
          </w:tcPr>
          <w:p w:rsidR="00751ABD" w:rsidRPr="00E75B0C" w:rsidRDefault="00751ABD" w:rsidP="00375D8F">
            <w:pPr>
              <w:rPr>
                <w:rFonts w:ascii="Verdana" w:hAnsi="Verdana"/>
                <w:sz w:val="18"/>
                <w:szCs w:val="18"/>
              </w:rPr>
            </w:pPr>
          </w:p>
        </w:tc>
      </w:tr>
      <w:tr w:rsidR="00751ABD" w:rsidRPr="00E75B0C" w:rsidTr="00751ABD">
        <w:tc>
          <w:tcPr>
            <w:tcW w:w="4264" w:type="dxa"/>
          </w:tcPr>
          <w:p w:rsidR="00751ABD" w:rsidRPr="00E75B0C" w:rsidRDefault="00BB3D37" w:rsidP="00751ABD">
            <w:pPr>
              <w:jc w:val="center"/>
              <w:rPr>
                <w:rFonts w:ascii="Verdana" w:hAnsi="Verdana"/>
                <w:sz w:val="18"/>
                <w:szCs w:val="18"/>
              </w:rPr>
            </w:pPr>
            <w:r w:rsidRPr="00E75B0C">
              <w:rPr>
                <w:rFonts w:ascii="Verdana" w:hAnsi="Verdana"/>
                <w:sz w:val="18"/>
                <w:szCs w:val="18"/>
              </w:rPr>
              <w:t>Κλίμακα</w:t>
            </w:r>
            <w:r w:rsidR="00751ABD" w:rsidRPr="00E75B0C">
              <w:rPr>
                <w:rFonts w:ascii="Verdana" w:hAnsi="Verdana"/>
                <w:sz w:val="18"/>
                <w:szCs w:val="18"/>
              </w:rPr>
              <w:t xml:space="preserve"> τιμών</w:t>
            </w:r>
          </w:p>
        </w:tc>
        <w:tc>
          <w:tcPr>
            <w:tcW w:w="4264" w:type="dxa"/>
          </w:tcPr>
          <w:p w:rsidR="00751ABD" w:rsidRPr="00E75B0C" w:rsidRDefault="00751ABD" w:rsidP="00751ABD">
            <w:pPr>
              <w:jc w:val="center"/>
              <w:rPr>
                <w:rFonts w:ascii="Verdana" w:hAnsi="Verdana"/>
                <w:sz w:val="18"/>
                <w:szCs w:val="18"/>
              </w:rPr>
            </w:pPr>
            <w:r w:rsidRPr="00E75B0C">
              <w:rPr>
                <w:rFonts w:ascii="Verdana" w:hAnsi="Verdana"/>
                <w:sz w:val="18"/>
                <w:szCs w:val="18"/>
              </w:rPr>
              <w:t>Ποσοστό</w:t>
            </w:r>
          </w:p>
        </w:tc>
      </w:tr>
      <w:tr w:rsidR="00751ABD" w:rsidRPr="00E75B0C" w:rsidTr="00751ABD">
        <w:tc>
          <w:tcPr>
            <w:tcW w:w="4264" w:type="dxa"/>
          </w:tcPr>
          <w:p w:rsidR="00751ABD" w:rsidRPr="00E75B0C" w:rsidRDefault="00751ABD" w:rsidP="00375D8F">
            <w:pPr>
              <w:rPr>
                <w:rFonts w:ascii="Verdana" w:hAnsi="Verdana"/>
                <w:sz w:val="18"/>
                <w:szCs w:val="18"/>
              </w:rPr>
            </w:pPr>
          </w:p>
        </w:tc>
        <w:tc>
          <w:tcPr>
            <w:tcW w:w="4264" w:type="dxa"/>
          </w:tcPr>
          <w:p w:rsidR="00751ABD" w:rsidRPr="00E75B0C" w:rsidRDefault="00751ABD" w:rsidP="00375D8F">
            <w:pPr>
              <w:rPr>
                <w:rFonts w:ascii="Verdana" w:hAnsi="Verdana"/>
                <w:sz w:val="18"/>
                <w:szCs w:val="18"/>
              </w:rPr>
            </w:pPr>
          </w:p>
        </w:tc>
      </w:tr>
      <w:tr w:rsidR="00751ABD" w:rsidRPr="00E75B0C" w:rsidTr="00751ABD">
        <w:tc>
          <w:tcPr>
            <w:tcW w:w="4264" w:type="dxa"/>
          </w:tcPr>
          <w:p w:rsidR="00751ABD" w:rsidRPr="00E75B0C" w:rsidRDefault="00BB3D37" w:rsidP="00375D8F">
            <w:pPr>
              <w:rPr>
                <w:rFonts w:ascii="Verdana" w:hAnsi="Verdana"/>
                <w:sz w:val="18"/>
                <w:szCs w:val="18"/>
              </w:rPr>
            </w:pPr>
            <w:r w:rsidRPr="00E75B0C">
              <w:rPr>
                <w:rFonts w:ascii="Verdana" w:hAnsi="Verdana"/>
                <w:sz w:val="18"/>
                <w:szCs w:val="18"/>
              </w:rPr>
              <w:t>Έως</w:t>
            </w:r>
            <w:r w:rsidR="00751ABD" w:rsidRPr="00E75B0C">
              <w:rPr>
                <w:rFonts w:ascii="Verdana" w:hAnsi="Verdana"/>
                <w:sz w:val="18"/>
                <w:szCs w:val="18"/>
              </w:rPr>
              <w:t xml:space="preserve"> €6,500</w:t>
            </w:r>
          </w:p>
        </w:tc>
        <w:tc>
          <w:tcPr>
            <w:tcW w:w="4264" w:type="dxa"/>
          </w:tcPr>
          <w:p w:rsidR="00751ABD" w:rsidRPr="00E75B0C" w:rsidRDefault="00751ABD" w:rsidP="00751ABD">
            <w:pPr>
              <w:jc w:val="center"/>
              <w:rPr>
                <w:rFonts w:ascii="Verdana" w:hAnsi="Verdana"/>
                <w:sz w:val="18"/>
                <w:szCs w:val="18"/>
              </w:rPr>
            </w:pPr>
            <w:r w:rsidRPr="00E75B0C">
              <w:rPr>
                <w:rFonts w:ascii="Verdana" w:hAnsi="Verdana"/>
                <w:sz w:val="18"/>
                <w:szCs w:val="18"/>
              </w:rPr>
              <w:t>4.784%</w:t>
            </w:r>
          </w:p>
        </w:tc>
      </w:tr>
      <w:tr w:rsidR="00751ABD" w:rsidRPr="00E75B0C" w:rsidTr="00751ABD">
        <w:tc>
          <w:tcPr>
            <w:tcW w:w="4264" w:type="dxa"/>
          </w:tcPr>
          <w:p w:rsidR="00751ABD" w:rsidRPr="00E75B0C" w:rsidRDefault="00751ABD" w:rsidP="00375D8F">
            <w:pPr>
              <w:rPr>
                <w:rFonts w:ascii="Verdana" w:hAnsi="Verdana"/>
                <w:sz w:val="18"/>
                <w:szCs w:val="18"/>
              </w:rPr>
            </w:pPr>
            <w:r w:rsidRPr="00E75B0C">
              <w:rPr>
                <w:rFonts w:ascii="Verdana" w:hAnsi="Verdana"/>
                <w:sz w:val="18"/>
                <w:szCs w:val="18"/>
              </w:rPr>
              <w:t>Από €6,501 ως €17,000</w:t>
            </w:r>
          </w:p>
        </w:tc>
        <w:tc>
          <w:tcPr>
            <w:tcW w:w="4264" w:type="dxa"/>
          </w:tcPr>
          <w:p w:rsidR="00751ABD" w:rsidRPr="00E75B0C" w:rsidRDefault="00751ABD" w:rsidP="00751ABD">
            <w:pPr>
              <w:jc w:val="center"/>
              <w:rPr>
                <w:rFonts w:ascii="Verdana" w:hAnsi="Verdana"/>
                <w:sz w:val="18"/>
                <w:szCs w:val="18"/>
              </w:rPr>
            </w:pPr>
            <w:r w:rsidRPr="00E75B0C">
              <w:rPr>
                <w:rFonts w:ascii="Verdana" w:hAnsi="Verdana"/>
                <w:sz w:val="18"/>
                <w:szCs w:val="18"/>
              </w:rPr>
              <w:t>1.9734%</w:t>
            </w:r>
          </w:p>
        </w:tc>
      </w:tr>
      <w:tr w:rsidR="00751ABD" w:rsidRPr="00E75B0C" w:rsidTr="00751ABD">
        <w:tc>
          <w:tcPr>
            <w:tcW w:w="4264" w:type="dxa"/>
          </w:tcPr>
          <w:p w:rsidR="00751ABD" w:rsidRPr="00E75B0C" w:rsidRDefault="00751ABD" w:rsidP="00375D8F">
            <w:pPr>
              <w:rPr>
                <w:rFonts w:ascii="Verdana" w:hAnsi="Verdana"/>
                <w:sz w:val="18"/>
                <w:szCs w:val="18"/>
              </w:rPr>
            </w:pPr>
            <w:r w:rsidRPr="00E75B0C">
              <w:rPr>
                <w:rFonts w:ascii="Verdana" w:hAnsi="Verdana"/>
                <w:sz w:val="18"/>
                <w:szCs w:val="18"/>
              </w:rPr>
              <w:t>Από €17,001 ως €30,000</w:t>
            </w:r>
          </w:p>
        </w:tc>
        <w:tc>
          <w:tcPr>
            <w:tcW w:w="4264" w:type="dxa"/>
          </w:tcPr>
          <w:p w:rsidR="00751ABD" w:rsidRPr="00E75B0C" w:rsidRDefault="00751ABD" w:rsidP="00751ABD">
            <w:pPr>
              <w:jc w:val="center"/>
              <w:rPr>
                <w:rFonts w:ascii="Verdana" w:hAnsi="Verdana"/>
                <w:sz w:val="18"/>
                <w:szCs w:val="18"/>
              </w:rPr>
            </w:pPr>
            <w:r w:rsidRPr="00E75B0C">
              <w:rPr>
                <w:rFonts w:ascii="Verdana" w:hAnsi="Verdana"/>
                <w:sz w:val="18"/>
                <w:szCs w:val="18"/>
              </w:rPr>
              <w:t>1.3156%</w:t>
            </w:r>
          </w:p>
        </w:tc>
      </w:tr>
      <w:tr w:rsidR="00751ABD" w:rsidRPr="00E75B0C" w:rsidTr="00751ABD">
        <w:tc>
          <w:tcPr>
            <w:tcW w:w="4264" w:type="dxa"/>
          </w:tcPr>
          <w:p w:rsidR="00751ABD" w:rsidRPr="00E75B0C" w:rsidRDefault="00751ABD" w:rsidP="00375D8F">
            <w:pPr>
              <w:rPr>
                <w:rFonts w:ascii="Verdana" w:hAnsi="Verdana"/>
                <w:sz w:val="18"/>
                <w:szCs w:val="18"/>
              </w:rPr>
            </w:pPr>
            <w:r w:rsidRPr="00E75B0C">
              <w:rPr>
                <w:rFonts w:ascii="Verdana" w:hAnsi="Verdana"/>
                <w:sz w:val="18"/>
                <w:szCs w:val="18"/>
              </w:rPr>
              <w:t>€30,001+</w:t>
            </w:r>
          </w:p>
        </w:tc>
        <w:tc>
          <w:tcPr>
            <w:tcW w:w="4264" w:type="dxa"/>
          </w:tcPr>
          <w:p w:rsidR="00751ABD" w:rsidRPr="00E75B0C" w:rsidRDefault="00751ABD" w:rsidP="00751ABD">
            <w:pPr>
              <w:jc w:val="center"/>
              <w:rPr>
                <w:rFonts w:ascii="Verdana" w:hAnsi="Verdana"/>
                <w:sz w:val="18"/>
                <w:szCs w:val="18"/>
              </w:rPr>
            </w:pPr>
            <w:r w:rsidRPr="00E75B0C">
              <w:rPr>
                <w:rFonts w:ascii="Verdana" w:hAnsi="Verdana"/>
                <w:sz w:val="18"/>
                <w:szCs w:val="18"/>
              </w:rPr>
              <w:t>0.9867%</w:t>
            </w:r>
          </w:p>
        </w:tc>
      </w:tr>
    </w:tbl>
    <w:p w:rsidR="00751ABD" w:rsidRPr="00E75B0C" w:rsidRDefault="00751ABD" w:rsidP="00375D8F">
      <w:pPr>
        <w:spacing w:line="240" w:lineRule="auto"/>
        <w:rPr>
          <w:rFonts w:ascii="Verdana" w:hAnsi="Verdana"/>
          <w:sz w:val="18"/>
          <w:szCs w:val="18"/>
        </w:rPr>
      </w:pPr>
    </w:p>
    <w:p w:rsidR="00375D8F" w:rsidRPr="00E75B0C" w:rsidRDefault="00751ABD" w:rsidP="00375D8F">
      <w:pPr>
        <w:spacing w:line="240" w:lineRule="auto"/>
        <w:rPr>
          <w:rFonts w:ascii="Verdana" w:hAnsi="Verdana"/>
          <w:sz w:val="18"/>
          <w:szCs w:val="18"/>
        </w:rPr>
      </w:pPr>
      <w:r w:rsidRPr="00E75B0C">
        <w:rPr>
          <w:rFonts w:ascii="Verdana" w:hAnsi="Verdana"/>
          <w:sz w:val="18"/>
          <w:szCs w:val="18"/>
        </w:rPr>
        <w:t xml:space="preserve">Τα ανωτέρω υπόκεινται σε ΦΠΑ 20%. </w:t>
      </w:r>
    </w:p>
    <w:p w:rsidR="00375D8F" w:rsidRPr="00E75B0C" w:rsidRDefault="00751ABD" w:rsidP="00375D8F">
      <w:pPr>
        <w:spacing w:line="240" w:lineRule="auto"/>
        <w:rPr>
          <w:rFonts w:ascii="Verdana" w:hAnsi="Verdana"/>
          <w:sz w:val="18"/>
          <w:szCs w:val="18"/>
        </w:rPr>
      </w:pPr>
      <w:r w:rsidRPr="00E75B0C">
        <w:rPr>
          <w:rFonts w:ascii="Verdana" w:hAnsi="Verdana"/>
          <w:sz w:val="18"/>
          <w:szCs w:val="18"/>
        </w:rPr>
        <w:t xml:space="preserve">Π.χ., τα συμβολαιογραφικά για ακίνητο </w:t>
      </w:r>
      <w:r w:rsidR="0048710F" w:rsidRPr="00E75B0C">
        <w:rPr>
          <w:rFonts w:ascii="Verdana" w:hAnsi="Verdana"/>
          <w:sz w:val="18"/>
          <w:szCs w:val="18"/>
        </w:rPr>
        <w:t>€</w:t>
      </w:r>
      <w:r w:rsidRPr="00E75B0C">
        <w:rPr>
          <w:rFonts w:ascii="Verdana" w:hAnsi="Verdana"/>
          <w:sz w:val="18"/>
          <w:szCs w:val="18"/>
        </w:rPr>
        <w:t>250,000 θα είναι</w:t>
      </w:r>
      <w:r w:rsidR="0048710F" w:rsidRPr="00E75B0C">
        <w:rPr>
          <w:rFonts w:ascii="Verdana" w:hAnsi="Verdana"/>
          <w:sz w:val="18"/>
          <w:szCs w:val="18"/>
        </w:rPr>
        <w:t xml:space="preserve"> €2,835.02+20% = €3,402.02, ή 1.36% της τιμής </w:t>
      </w:r>
      <w:r w:rsidR="00490400" w:rsidRPr="00E75B0C">
        <w:rPr>
          <w:rFonts w:ascii="Verdana" w:hAnsi="Verdana"/>
          <w:sz w:val="18"/>
          <w:szCs w:val="18"/>
        </w:rPr>
        <w:t>πώλησης</w:t>
      </w:r>
      <w:r w:rsidR="0048710F" w:rsidRPr="00E75B0C">
        <w:rPr>
          <w:rFonts w:ascii="Verdana" w:hAnsi="Verdana"/>
          <w:sz w:val="18"/>
          <w:szCs w:val="18"/>
        </w:rPr>
        <w:t xml:space="preserve">. </w:t>
      </w:r>
    </w:p>
    <w:p w:rsidR="00375D8F" w:rsidRPr="00E75B0C" w:rsidRDefault="0048710F" w:rsidP="00375D8F">
      <w:pPr>
        <w:spacing w:line="240" w:lineRule="auto"/>
        <w:rPr>
          <w:rFonts w:ascii="Verdana" w:hAnsi="Verdana"/>
          <w:sz w:val="18"/>
          <w:szCs w:val="18"/>
        </w:rPr>
      </w:pPr>
      <w:r w:rsidRPr="00E75B0C">
        <w:rPr>
          <w:rFonts w:ascii="Verdana" w:hAnsi="Verdana"/>
          <w:sz w:val="18"/>
          <w:szCs w:val="18"/>
        </w:rPr>
        <w:t xml:space="preserve">Τα έξοδα </w:t>
      </w:r>
      <w:r w:rsidR="00BB3D37" w:rsidRPr="00E75B0C">
        <w:rPr>
          <w:rFonts w:ascii="Verdana" w:hAnsi="Verdana"/>
          <w:sz w:val="18"/>
          <w:szCs w:val="18"/>
        </w:rPr>
        <w:t>ενυπόθηκου</w:t>
      </w:r>
      <w:r w:rsidRPr="00E75B0C">
        <w:rPr>
          <w:rFonts w:ascii="Verdana" w:hAnsi="Verdana"/>
          <w:sz w:val="18"/>
          <w:szCs w:val="18"/>
        </w:rPr>
        <w:t xml:space="preserve"> δανείου αντιστοιχούν περίπου σε 2% της τιμής </w:t>
      </w:r>
      <w:r w:rsidR="00490400" w:rsidRPr="00E75B0C">
        <w:rPr>
          <w:rFonts w:ascii="Verdana" w:hAnsi="Verdana"/>
          <w:sz w:val="18"/>
          <w:szCs w:val="18"/>
        </w:rPr>
        <w:t>πώλησης</w:t>
      </w:r>
      <w:r w:rsidRPr="00E75B0C">
        <w:rPr>
          <w:rFonts w:ascii="Verdana" w:hAnsi="Verdana"/>
          <w:sz w:val="18"/>
          <w:szCs w:val="18"/>
        </w:rPr>
        <w:t>, περιλαμβάνουν δε το κόστος εγγραφής στο Κτηματολόγιο, πρόσθετη αμοιβή συμβολαιογράφου 0.26% και το κό</w:t>
      </w:r>
      <w:r w:rsidR="00490400" w:rsidRPr="00E75B0C">
        <w:rPr>
          <w:rFonts w:ascii="Verdana" w:hAnsi="Verdana"/>
          <w:sz w:val="18"/>
          <w:szCs w:val="18"/>
        </w:rPr>
        <w:t>στος του δανειστή</w:t>
      </w:r>
      <w:r w:rsidRPr="00E75B0C">
        <w:rPr>
          <w:rFonts w:ascii="Verdana" w:hAnsi="Verdana"/>
          <w:sz w:val="18"/>
          <w:szCs w:val="18"/>
        </w:rPr>
        <w:t xml:space="preserve">. </w:t>
      </w:r>
    </w:p>
    <w:p w:rsidR="00375D8F" w:rsidRPr="00E75B0C" w:rsidRDefault="000C1529" w:rsidP="009E1661">
      <w:pPr>
        <w:spacing w:line="240" w:lineRule="auto"/>
        <w:rPr>
          <w:rFonts w:ascii="Verdana" w:hAnsi="Verdana"/>
          <w:sz w:val="18"/>
          <w:szCs w:val="18"/>
        </w:rPr>
      </w:pPr>
      <w:r w:rsidRPr="00E75B0C">
        <w:rPr>
          <w:rFonts w:ascii="Verdana" w:hAnsi="Verdana"/>
          <w:sz w:val="18"/>
          <w:szCs w:val="18"/>
        </w:rPr>
        <w:t xml:space="preserve">Ο φόρος </w:t>
      </w:r>
      <w:r w:rsidR="00B672FE" w:rsidRPr="00E75B0C">
        <w:rPr>
          <w:rFonts w:ascii="Verdana" w:hAnsi="Verdana"/>
          <w:sz w:val="18"/>
          <w:szCs w:val="18"/>
        </w:rPr>
        <w:t>μεταβίβασης</w:t>
      </w:r>
      <w:r w:rsidRPr="00E75B0C">
        <w:rPr>
          <w:rFonts w:ascii="Verdana" w:hAnsi="Verdana"/>
          <w:sz w:val="18"/>
          <w:szCs w:val="18"/>
        </w:rPr>
        <w:t xml:space="preserve"> είναι:</w:t>
      </w:r>
    </w:p>
    <w:p w:rsidR="000C1529" w:rsidRPr="00E75B0C" w:rsidRDefault="00C327AB" w:rsidP="00C327AB">
      <w:pPr>
        <w:pStyle w:val="a3"/>
        <w:numPr>
          <w:ilvl w:val="0"/>
          <w:numId w:val="3"/>
        </w:numPr>
        <w:spacing w:line="240" w:lineRule="auto"/>
        <w:rPr>
          <w:rFonts w:ascii="Verdana" w:hAnsi="Verdana"/>
          <w:sz w:val="18"/>
          <w:szCs w:val="18"/>
        </w:rPr>
      </w:pPr>
      <w:r w:rsidRPr="00E75B0C">
        <w:rPr>
          <w:rFonts w:ascii="Verdana" w:hAnsi="Verdana"/>
          <w:sz w:val="18"/>
          <w:szCs w:val="18"/>
        </w:rPr>
        <w:t xml:space="preserve">5.80% για παλαιά </w:t>
      </w:r>
      <w:r w:rsidR="00B30D90" w:rsidRPr="00E75B0C">
        <w:rPr>
          <w:rFonts w:ascii="Verdana" w:hAnsi="Verdana"/>
          <w:sz w:val="18"/>
          <w:szCs w:val="18"/>
        </w:rPr>
        <w:t>κτήρια ή κτίσματα</w:t>
      </w:r>
      <w:r w:rsidRPr="00E75B0C">
        <w:rPr>
          <w:rFonts w:ascii="Verdana" w:hAnsi="Verdana"/>
          <w:sz w:val="18"/>
          <w:szCs w:val="18"/>
        </w:rPr>
        <w:t>, στις περισσότερες περιπτώσεις, ή 5.09% στις υπόλοιπες (πάντα για παλαιά ακίνητα).</w:t>
      </w:r>
    </w:p>
    <w:p w:rsidR="00C327AB" w:rsidRPr="00E75B0C" w:rsidRDefault="00C327AB" w:rsidP="00C327AB">
      <w:pPr>
        <w:pStyle w:val="a3"/>
        <w:numPr>
          <w:ilvl w:val="0"/>
          <w:numId w:val="3"/>
        </w:numPr>
        <w:spacing w:line="240" w:lineRule="auto"/>
        <w:rPr>
          <w:rFonts w:ascii="Verdana" w:hAnsi="Verdana"/>
          <w:sz w:val="18"/>
          <w:szCs w:val="18"/>
        </w:rPr>
      </w:pPr>
      <w:r w:rsidRPr="00E75B0C">
        <w:rPr>
          <w:rFonts w:ascii="Verdana" w:hAnsi="Verdana"/>
          <w:sz w:val="18"/>
          <w:szCs w:val="18"/>
        </w:rPr>
        <w:t xml:space="preserve">Για ακίνητα </w:t>
      </w:r>
      <w:r w:rsidR="00643A97" w:rsidRPr="00E75B0C">
        <w:rPr>
          <w:rFonts w:ascii="Verdana" w:hAnsi="Verdana"/>
          <w:sz w:val="18"/>
          <w:szCs w:val="18"/>
        </w:rPr>
        <w:t xml:space="preserve">αγοραζόμενα από </w:t>
      </w:r>
      <w:r w:rsidR="00643A97" w:rsidRPr="00E75B0C">
        <w:rPr>
          <w:rFonts w:ascii="Verdana" w:hAnsi="Verdana"/>
          <w:sz w:val="18"/>
          <w:szCs w:val="18"/>
          <w:lang w:val="en-US"/>
        </w:rPr>
        <w:t>developer</w:t>
      </w:r>
      <w:r w:rsidR="00643A97" w:rsidRPr="00E75B0C">
        <w:rPr>
          <w:rFonts w:ascii="Verdana" w:hAnsi="Verdana"/>
          <w:sz w:val="18"/>
          <w:szCs w:val="18"/>
        </w:rPr>
        <w:t xml:space="preserve">, </w:t>
      </w:r>
      <w:r w:rsidR="00BB3D37" w:rsidRPr="00E75B0C">
        <w:rPr>
          <w:rFonts w:ascii="Verdana" w:hAnsi="Verdana"/>
          <w:sz w:val="18"/>
          <w:szCs w:val="18"/>
        </w:rPr>
        <w:t>όταν αυτά δεν έχουν ακόμη κτισθεί</w:t>
      </w:r>
      <w:r w:rsidR="00643A97" w:rsidRPr="00E75B0C">
        <w:rPr>
          <w:rFonts w:ascii="Verdana" w:hAnsi="Verdana"/>
          <w:sz w:val="18"/>
          <w:szCs w:val="18"/>
        </w:rPr>
        <w:t>, σε οικόπεδο, που δεν ανήκει στον αγοραστή</w:t>
      </w:r>
      <w:r w:rsidRPr="00E75B0C">
        <w:rPr>
          <w:rFonts w:ascii="Verdana" w:hAnsi="Verdana"/>
          <w:sz w:val="18"/>
          <w:szCs w:val="18"/>
        </w:rPr>
        <w:t xml:space="preserve"> (</w:t>
      </w:r>
      <w:r w:rsidRPr="00E75B0C">
        <w:rPr>
          <w:rFonts w:ascii="Verdana" w:hAnsi="Verdana"/>
          <w:sz w:val="18"/>
          <w:szCs w:val="18"/>
          <w:lang w:val="en-US"/>
        </w:rPr>
        <w:t>off</w:t>
      </w:r>
      <w:r w:rsidRPr="00E75B0C">
        <w:rPr>
          <w:rFonts w:ascii="Verdana" w:hAnsi="Verdana"/>
          <w:sz w:val="18"/>
          <w:szCs w:val="18"/>
        </w:rPr>
        <w:t>-</w:t>
      </w:r>
      <w:r w:rsidRPr="00E75B0C">
        <w:rPr>
          <w:rFonts w:ascii="Verdana" w:hAnsi="Verdana"/>
          <w:sz w:val="18"/>
          <w:szCs w:val="18"/>
          <w:lang w:val="en-US"/>
        </w:rPr>
        <w:t>plan</w:t>
      </w:r>
      <w:r w:rsidRPr="00E75B0C">
        <w:rPr>
          <w:rFonts w:ascii="Verdana" w:hAnsi="Verdana"/>
          <w:sz w:val="18"/>
          <w:szCs w:val="18"/>
        </w:rPr>
        <w:t xml:space="preserve"> </w:t>
      </w:r>
      <w:r w:rsidRPr="00E75B0C">
        <w:rPr>
          <w:rFonts w:ascii="Verdana" w:hAnsi="Verdana"/>
          <w:sz w:val="18"/>
          <w:szCs w:val="18"/>
          <w:lang w:val="en-US"/>
        </w:rPr>
        <w:t>properties</w:t>
      </w:r>
      <w:r w:rsidRPr="00E75B0C">
        <w:rPr>
          <w:rFonts w:ascii="Verdana" w:hAnsi="Verdana"/>
          <w:sz w:val="18"/>
          <w:szCs w:val="18"/>
        </w:rPr>
        <w:t xml:space="preserve">, ή </w:t>
      </w:r>
      <w:proofErr w:type="spellStart"/>
      <w:r w:rsidR="00643A97" w:rsidRPr="00E75B0C">
        <w:rPr>
          <w:rFonts w:ascii="Verdana" w:hAnsi="Verdana" w:cs="Arial"/>
          <w:iCs/>
          <w:color w:val="000000"/>
          <w:sz w:val="18"/>
          <w:szCs w:val="18"/>
          <w:lang w:val="en-US"/>
        </w:rPr>
        <w:t>v</w:t>
      </w:r>
      <w:r w:rsidRPr="00E75B0C">
        <w:rPr>
          <w:rFonts w:ascii="Verdana" w:hAnsi="Verdana" w:cs="Arial"/>
          <w:iCs/>
          <w:color w:val="000000"/>
          <w:sz w:val="18"/>
          <w:szCs w:val="18"/>
          <w:lang w:val="en-US"/>
        </w:rPr>
        <w:t>ente</w:t>
      </w:r>
      <w:proofErr w:type="spellEnd"/>
      <w:r w:rsidRPr="00E75B0C">
        <w:rPr>
          <w:rFonts w:ascii="Verdana" w:hAnsi="Verdana" w:cs="Arial"/>
          <w:iCs/>
          <w:color w:val="000000"/>
          <w:sz w:val="18"/>
          <w:szCs w:val="18"/>
        </w:rPr>
        <w:t xml:space="preserve"> </w:t>
      </w:r>
      <w:r w:rsidRPr="00E75B0C">
        <w:rPr>
          <w:rFonts w:ascii="Verdana" w:hAnsi="Verdana" w:cs="Arial"/>
          <w:iCs/>
          <w:color w:val="000000"/>
          <w:sz w:val="18"/>
          <w:szCs w:val="18"/>
          <w:lang w:val="en-US"/>
        </w:rPr>
        <w:t>en</w:t>
      </w:r>
      <w:r w:rsidRPr="00E75B0C">
        <w:rPr>
          <w:rFonts w:ascii="Verdana" w:hAnsi="Verdana" w:cs="Arial"/>
          <w:iCs/>
          <w:color w:val="000000"/>
          <w:sz w:val="18"/>
          <w:szCs w:val="18"/>
        </w:rPr>
        <w:t xml:space="preserve"> </w:t>
      </w:r>
      <w:r w:rsidRPr="00E75B0C">
        <w:rPr>
          <w:rFonts w:ascii="Verdana" w:hAnsi="Verdana" w:cs="Arial"/>
          <w:iCs/>
          <w:color w:val="000000"/>
          <w:sz w:val="18"/>
          <w:szCs w:val="18"/>
          <w:lang w:val="en-US"/>
        </w:rPr>
        <w:t>l</w:t>
      </w:r>
      <w:r w:rsidRPr="00E75B0C">
        <w:rPr>
          <w:rFonts w:ascii="Verdana" w:hAnsi="Verdana" w:cs="Arial"/>
          <w:iCs/>
          <w:color w:val="000000"/>
          <w:sz w:val="18"/>
          <w:szCs w:val="18"/>
        </w:rPr>
        <w:t>’é</w:t>
      </w:r>
      <w:r w:rsidRPr="00E75B0C">
        <w:rPr>
          <w:rFonts w:ascii="Verdana" w:hAnsi="Verdana" w:cs="Arial"/>
          <w:iCs/>
          <w:color w:val="000000"/>
          <w:sz w:val="18"/>
          <w:szCs w:val="18"/>
          <w:lang w:val="en-US"/>
        </w:rPr>
        <w:t>tat</w:t>
      </w:r>
      <w:r w:rsidRPr="00E75B0C">
        <w:rPr>
          <w:rFonts w:ascii="Verdana" w:hAnsi="Verdana" w:cs="Arial"/>
          <w:iCs/>
          <w:color w:val="000000"/>
          <w:sz w:val="18"/>
          <w:szCs w:val="18"/>
        </w:rPr>
        <w:t xml:space="preserve"> </w:t>
      </w:r>
      <w:proofErr w:type="spellStart"/>
      <w:r w:rsidRPr="00E75B0C">
        <w:rPr>
          <w:rFonts w:ascii="Verdana" w:hAnsi="Verdana" w:cs="Arial"/>
          <w:iCs/>
          <w:color w:val="000000"/>
          <w:sz w:val="18"/>
          <w:szCs w:val="18"/>
          <w:lang w:val="en-US"/>
        </w:rPr>
        <w:t>futur</w:t>
      </w:r>
      <w:proofErr w:type="spellEnd"/>
      <w:r w:rsidRPr="00E75B0C">
        <w:rPr>
          <w:rFonts w:ascii="Verdana" w:hAnsi="Verdana" w:cs="Arial"/>
          <w:iCs/>
          <w:color w:val="000000"/>
          <w:sz w:val="18"/>
          <w:szCs w:val="18"/>
        </w:rPr>
        <w:t xml:space="preserve"> </w:t>
      </w:r>
      <w:r w:rsidRPr="00E75B0C">
        <w:rPr>
          <w:rFonts w:ascii="Verdana" w:hAnsi="Verdana" w:cs="Arial"/>
          <w:iCs/>
          <w:color w:val="000000"/>
          <w:sz w:val="18"/>
          <w:szCs w:val="18"/>
          <w:lang w:val="en-US"/>
        </w:rPr>
        <w:t>d</w:t>
      </w:r>
      <w:r w:rsidRPr="00E75B0C">
        <w:rPr>
          <w:rFonts w:ascii="Verdana" w:hAnsi="Verdana" w:cs="Arial"/>
          <w:iCs/>
          <w:color w:val="000000"/>
          <w:sz w:val="18"/>
          <w:szCs w:val="18"/>
        </w:rPr>
        <w:t>’</w:t>
      </w:r>
      <w:r w:rsidRPr="00E75B0C">
        <w:rPr>
          <w:rFonts w:ascii="Verdana" w:hAnsi="Verdana" w:cs="Arial"/>
          <w:iCs/>
          <w:color w:val="000000"/>
          <w:sz w:val="18"/>
          <w:szCs w:val="18"/>
          <w:lang w:val="en-US"/>
        </w:rPr>
        <w:t>ach</w:t>
      </w:r>
      <w:r w:rsidRPr="00E75B0C">
        <w:rPr>
          <w:rFonts w:ascii="Verdana" w:hAnsi="Verdana" w:cs="Arial"/>
          <w:iCs/>
          <w:color w:val="000000"/>
          <w:sz w:val="18"/>
          <w:szCs w:val="18"/>
        </w:rPr>
        <w:t>è</w:t>
      </w:r>
      <w:proofErr w:type="spellStart"/>
      <w:r w:rsidRPr="00E75B0C">
        <w:rPr>
          <w:rFonts w:ascii="Verdana" w:hAnsi="Verdana" w:cs="Arial"/>
          <w:iCs/>
          <w:color w:val="000000"/>
          <w:sz w:val="18"/>
          <w:szCs w:val="18"/>
          <w:lang w:val="en-US"/>
        </w:rPr>
        <w:t>vement</w:t>
      </w:r>
      <w:proofErr w:type="spellEnd"/>
      <w:r w:rsidRPr="00E75B0C">
        <w:rPr>
          <w:rFonts w:ascii="Verdana" w:hAnsi="Verdana" w:cs="Arial"/>
          <w:iCs/>
          <w:color w:val="000000"/>
          <w:sz w:val="18"/>
          <w:szCs w:val="18"/>
        </w:rPr>
        <w:t xml:space="preserve">) υπάρχει ΦΠΑ 20% επί της τιμής </w:t>
      </w:r>
      <w:r w:rsidR="00490400" w:rsidRPr="00E75B0C">
        <w:rPr>
          <w:rFonts w:ascii="Verdana" w:hAnsi="Verdana" w:cs="Arial"/>
          <w:iCs/>
          <w:color w:val="000000"/>
          <w:sz w:val="18"/>
          <w:szCs w:val="18"/>
        </w:rPr>
        <w:t>πώλησης</w:t>
      </w:r>
      <w:r w:rsidRPr="00E75B0C">
        <w:rPr>
          <w:rFonts w:ascii="Verdana" w:hAnsi="Verdana" w:cs="Arial"/>
          <w:i/>
          <w:iCs/>
          <w:color w:val="000000"/>
          <w:sz w:val="18"/>
          <w:szCs w:val="18"/>
        </w:rPr>
        <w:t xml:space="preserve">. </w:t>
      </w:r>
    </w:p>
    <w:p w:rsidR="00C327AB" w:rsidRPr="00E75B0C" w:rsidRDefault="00B30D90" w:rsidP="00C327AB">
      <w:pPr>
        <w:pStyle w:val="a3"/>
        <w:numPr>
          <w:ilvl w:val="0"/>
          <w:numId w:val="3"/>
        </w:numPr>
        <w:spacing w:line="240" w:lineRule="auto"/>
        <w:rPr>
          <w:rFonts w:ascii="Verdana" w:hAnsi="Verdana"/>
          <w:sz w:val="18"/>
          <w:szCs w:val="18"/>
        </w:rPr>
      </w:pPr>
      <w:r w:rsidRPr="00E75B0C">
        <w:rPr>
          <w:rFonts w:ascii="Verdana" w:hAnsi="Verdana"/>
          <w:sz w:val="18"/>
          <w:szCs w:val="18"/>
        </w:rPr>
        <w:t xml:space="preserve">Για αγορά </w:t>
      </w:r>
      <w:r w:rsidR="005768ED" w:rsidRPr="00E75B0C">
        <w:rPr>
          <w:rFonts w:ascii="Verdana" w:hAnsi="Verdana"/>
          <w:sz w:val="18"/>
          <w:szCs w:val="18"/>
        </w:rPr>
        <w:t xml:space="preserve">νέων </w:t>
      </w:r>
      <w:r w:rsidRPr="00E75B0C">
        <w:rPr>
          <w:rFonts w:ascii="Verdana" w:hAnsi="Verdana"/>
          <w:sz w:val="18"/>
          <w:szCs w:val="18"/>
        </w:rPr>
        <w:t xml:space="preserve">κτηρίων ή κτισμάτων κάτω των 5 ετών από </w:t>
      </w:r>
      <w:r w:rsidRPr="00E75B0C">
        <w:rPr>
          <w:rFonts w:ascii="Verdana" w:hAnsi="Verdana"/>
          <w:sz w:val="18"/>
          <w:szCs w:val="18"/>
          <w:lang w:val="en-US"/>
        </w:rPr>
        <w:t>developer</w:t>
      </w:r>
      <w:r w:rsidRPr="00E75B0C">
        <w:rPr>
          <w:rFonts w:ascii="Verdana" w:hAnsi="Verdana"/>
          <w:sz w:val="18"/>
          <w:szCs w:val="18"/>
        </w:rPr>
        <w:t xml:space="preserve"> ή </w:t>
      </w:r>
      <w:r w:rsidRPr="00E75B0C">
        <w:rPr>
          <w:rFonts w:ascii="Verdana" w:hAnsi="Verdana"/>
          <w:sz w:val="18"/>
          <w:szCs w:val="18"/>
          <w:lang w:val="en-US"/>
        </w:rPr>
        <w:t>dealer</w:t>
      </w:r>
      <w:r w:rsidRPr="00E75B0C">
        <w:rPr>
          <w:rFonts w:ascii="Verdana" w:hAnsi="Verdana"/>
          <w:sz w:val="18"/>
          <w:szCs w:val="18"/>
        </w:rPr>
        <w:t xml:space="preserve"> υπάρχει ΦΠΑ 20% συν φόρος 0.7%. </w:t>
      </w:r>
    </w:p>
    <w:p w:rsidR="00B30D90" w:rsidRPr="00E75B0C" w:rsidRDefault="00B30D90" w:rsidP="00C327AB">
      <w:pPr>
        <w:pStyle w:val="a3"/>
        <w:numPr>
          <w:ilvl w:val="0"/>
          <w:numId w:val="3"/>
        </w:numPr>
        <w:spacing w:line="240" w:lineRule="auto"/>
        <w:rPr>
          <w:rFonts w:ascii="Verdana" w:hAnsi="Verdana"/>
          <w:sz w:val="18"/>
          <w:szCs w:val="18"/>
        </w:rPr>
      </w:pPr>
      <w:r w:rsidRPr="00E75B0C">
        <w:rPr>
          <w:rFonts w:ascii="Verdana" w:hAnsi="Verdana"/>
          <w:sz w:val="18"/>
          <w:szCs w:val="18"/>
        </w:rPr>
        <w:t xml:space="preserve">Για αγορά </w:t>
      </w:r>
      <w:r w:rsidR="005768ED" w:rsidRPr="00E75B0C">
        <w:rPr>
          <w:rFonts w:ascii="Verdana" w:hAnsi="Verdana"/>
          <w:sz w:val="18"/>
          <w:szCs w:val="18"/>
        </w:rPr>
        <w:t xml:space="preserve">νέων </w:t>
      </w:r>
      <w:r w:rsidRPr="00E75B0C">
        <w:rPr>
          <w:rFonts w:ascii="Verdana" w:hAnsi="Verdana"/>
          <w:sz w:val="18"/>
          <w:szCs w:val="18"/>
        </w:rPr>
        <w:t xml:space="preserve">κτηρίων ή κτισμάτων κάτω των 5 ετών από ιδιώτη (ή για αγορά οικοπέδου από ιδιώτη) δεν υπάρχει ΦΠΑ, μα ο ανωτέρω φόρος 5.80% ή 5.09%. </w:t>
      </w:r>
    </w:p>
    <w:p w:rsidR="00811EC5" w:rsidRPr="00E75B0C" w:rsidRDefault="00811EC5" w:rsidP="009E1661">
      <w:pPr>
        <w:spacing w:line="240" w:lineRule="auto"/>
        <w:rPr>
          <w:rFonts w:ascii="Verdana" w:hAnsi="Verdana"/>
          <w:b/>
          <w:sz w:val="18"/>
          <w:szCs w:val="18"/>
        </w:rPr>
      </w:pPr>
      <w:r w:rsidRPr="00E75B0C">
        <w:rPr>
          <w:rFonts w:ascii="Verdana" w:hAnsi="Verdana"/>
          <w:b/>
          <w:sz w:val="18"/>
          <w:szCs w:val="18"/>
        </w:rPr>
        <w:t>(Β) Τοπικοί φόροι κατοχής:</w:t>
      </w:r>
    </w:p>
    <w:p w:rsidR="00971541" w:rsidRPr="00E75B0C" w:rsidRDefault="00971541" w:rsidP="009E1661">
      <w:pPr>
        <w:spacing w:line="240" w:lineRule="auto"/>
        <w:rPr>
          <w:rFonts w:ascii="Verdana" w:hAnsi="Verdana"/>
          <w:sz w:val="18"/>
          <w:szCs w:val="18"/>
        </w:rPr>
      </w:pPr>
      <w:r w:rsidRPr="00E75B0C">
        <w:rPr>
          <w:rFonts w:ascii="Verdana" w:hAnsi="Verdana"/>
          <w:sz w:val="18"/>
          <w:szCs w:val="18"/>
        </w:rPr>
        <w:t xml:space="preserve">Το ενδιαφέρον με τους τοπικούς φόρους κατοχής στη Γαλλία είναι το ότι οι μεν συντελεστές επιλέγονται απ’ την ΤΑ (Τοπική </w:t>
      </w:r>
      <w:r w:rsidR="00BB3D37" w:rsidRPr="00E75B0C">
        <w:rPr>
          <w:rFonts w:ascii="Verdana" w:hAnsi="Verdana"/>
          <w:sz w:val="18"/>
          <w:szCs w:val="18"/>
        </w:rPr>
        <w:t>Αυτοδιοίκηση</w:t>
      </w:r>
      <w:r w:rsidRPr="00E75B0C">
        <w:rPr>
          <w:rFonts w:ascii="Verdana" w:hAnsi="Verdana"/>
          <w:sz w:val="18"/>
          <w:szCs w:val="18"/>
        </w:rPr>
        <w:t xml:space="preserve">), </w:t>
      </w:r>
      <w:r w:rsidR="00490400" w:rsidRPr="00E75B0C">
        <w:rPr>
          <w:rFonts w:ascii="Verdana" w:hAnsi="Verdana"/>
          <w:sz w:val="18"/>
          <w:szCs w:val="18"/>
        </w:rPr>
        <w:t>οι</w:t>
      </w:r>
      <w:r w:rsidRPr="00E75B0C">
        <w:rPr>
          <w:rFonts w:ascii="Verdana" w:hAnsi="Verdana"/>
          <w:sz w:val="18"/>
          <w:szCs w:val="18"/>
        </w:rPr>
        <w:t xml:space="preserve"> δε φορολογητέες αξίες καθορίζονται απ’ το κεντρικό κράτος, αλλά και οι ίδιοι οι φόροι συλλέγονται από αυτό (και αποδίδονται στην ΤΑ μετά την </w:t>
      </w:r>
      <w:r w:rsidR="00BB3D37" w:rsidRPr="00E75B0C">
        <w:rPr>
          <w:rFonts w:ascii="Verdana" w:hAnsi="Verdana"/>
          <w:sz w:val="18"/>
          <w:szCs w:val="18"/>
        </w:rPr>
        <w:t>κράτηση</w:t>
      </w:r>
      <w:r w:rsidRPr="00E75B0C">
        <w:rPr>
          <w:rFonts w:ascii="Verdana" w:hAnsi="Verdana"/>
          <w:sz w:val="18"/>
          <w:szCs w:val="18"/>
        </w:rPr>
        <w:t xml:space="preserve"> </w:t>
      </w:r>
      <w:r w:rsidR="00BB3D37" w:rsidRPr="00E75B0C">
        <w:rPr>
          <w:rFonts w:ascii="Verdana" w:hAnsi="Verdana"/>
          <w:sz w:val="18"/>
          <w:szCs w:val="18"/>
        </w:rPr>
        <w:t>μιας</w:t>
      </w:r>
      <w:r w:rsidRPr="00E75B0C">
        <w:rPr>
          <w:rFonts w:ascii="Verdana" w:hAnsi="Verdana"/>
          <w:sz w:val="18"/>
          <w:szCs w:val="18"/>
        </w:rPr>
        <w:t xml:space="preserve"> προμηθείας για έξοδα). </w:t>
      </w:r>
      <w:r w:rsidRPr="00E75B0C">
        <w:rPr>
          <w:rFonts w:ascii="Verdana" w:hAnsi="Verdana"/>
          <w:b/>
          <w:sz w:val="18"/>
          <w:szCs w:val="18"/>
        </w:rPr>
        <w:t xml:space="preserve">Αυτό το </w:t>
      </w:r>
      <w:r w:rsidR="00490400" w:rsidRPr="00E75B0C">
        <w:rPr>
          <w:rFonts w:ascii="Verdana" w:hAnsi="Verdana"/>
          <w:b/>
          <w:sz w:val="18"/>
          <w:szCs w:val="18"/>
        </w:rPr>
        <w:t>μοντέλο</w:t>
      </w:r>
      <w:r w:rsidRPr="00E75B0C">
        <w:rPr>
          <w:rFonts w:ascii="Verdana" w:hAnsi="Verdana"/>
          <w:b/>
          <w:sz w:val="18"/>
          <w:szCs w:val="18"/>
        </w:rPr>
        <w:t xml:space="preserve"> είναι ίσως το καταλληλότερο (μετά </w:t>
      </w:r>
      <w:r w:rsidR="00490400" w:rsidRPr="00E75B0C">
        <w:rPr>
          <w:rFonts w:ascii="Verdana" w:hAnsi="Verdana"/>
          <w:b/>
          <w:sz w:val="18"/>
          <w:szCs w:val="18"/>
        </w:rPr>
        <w:t xml:space="preserve">από </w:t>
      </w:r>
      <w:r w:rsidRPr="00E75B0C">
        <w:rPr>
          <w:rFonts w:ascii="Verdana" w:hAnsi="Verdana"/>
          <w:b/>
          <w:sz w:val="18"/>
          <w:szCs w:val="18"/>
        </w:rPr>
        <w:t xml:space="preserve">προσαρμογές) για την </w:t>
      </w:r>
      <w:r w:rsidR="00BB3D37" w:rsidRPr="00E75B0C">
        <w:rPr>
          <w:rFonts w:ascii="Verdana" w:hAnsi="Verdana"/>
          <w:b/>
          <w:sz w:val="18"/>
          <w:szCs w:val="18"/>
        </w:rPr>
        <w:t>αναμόρφωση</w:t>
      </w:r>
      <w:r w:rsidRPr="00E75B0C">
        <w:rPr>
          <w:rFonts w:ascii="Verdana" w:hAnsi="Verdana"/>
          <w:b/>
          <w:sz w:val="18"/>
          <w:szCs w:val="18"/>
        </w:rPr>
        <w:t xml:space="preserve"> των αντιστοίχων φόρων </w:t>
      </w:r>
      <w:r w:rsidR="00490400" w:rsidRPr="00E75B0C">
        <w:rPr>
          <w:rFonts w:ascii="Verdana" w:hAnsi="Verdana"/>
          <w:b/>
          <w:sz w:val="18"/>
          <w:szCs w:val="18"/>
        </w:rPr>
        <w:t>στην Ελλάδα, με σκοπό τη</w:t>
      </w:r>
      <w:r w:rsidRPr="00E75B0C">
        <w:rPr>
          <w:rFonts w:ascii="Verdana" w:hAnsi="Verdana"/>
          <w:b/>
          <w:sz w:val="18"/>
          <w:szCs w:val="18"/>
        </w:rPr>
        <w:t xml:space="preserve"> </w:t>
      </w:r>
      <w:r w:rsidR="00BB3D37" w:rsidRPr="00E75B0C">
        <w:rPr>
          <w:rFonts w:ascii="Verdana" w:hAnsi="Verdana"/>
          <w:b/>
          <w:sz w:val="18"/>
          <w:szCs w:val="18"/>
        </w:rPr>
        <w:t>χρηματοδότηση</w:t>
      </w:r>
      <w:r w:rsidRPr="00E75B0C">
        <w:rPr>
          <w:rFonts w:ascii="Verdana" w:hAnsi="Verdana"/>
          <w:b/>
          <w:sz w:val="18"/>
          <w:szCs w:val="18"/>
        </w:rPr>
        <w:t xml:space="preserve"> των δήμων από αυτούς.</w:t>
      </w:r>
      <w:r w:rsidRPr="00E75B0C">
        <w:rPr>
          <w:rFonts w:ascii="Verdana" w:hAnsi="Verdana"/>
          <w:sz w:val="18"/>
          <w:szCs w:val="18"/>
        </w:rPr>
        <w:t xml:space="preserve"> </w:t>
      </w:r>
    </w:p>
    <w:p w:rsidR="002D0C02" w:rsidRPr="00E75B0C" w:rsidRDefault="002D0C02" w:rsidP="009E1661">
      <w:pPr>
        <w:spacing w:line="240" w:lineRule="auto"/>
        <w:rPr>
          <w:rFonts w:ascii="Verdana" w:hAnsi="Verdana"/>
          <w:sz w:val="18"/>
          <w:szCs w:val="18"/>
        </w:rPr>
      </w:pPr>
      <w:r w:rsidRPr="00E75B0C">
        <w:rPr>
          <w:rFonts w:ascii="Verdana" w:hAnsi="Verdana"/>
          <w:sz w:val="18"/>
          <w:szCs w:val="18"/>
        </w:rPr>
        <w:t>Δύο είδη τέτοιων φόρων υπάρχουν, επιβαλλόμενοι ταυτοχρόνως:</w:t>
      </w:r>
    </w:p>
    <w:p w:rsidR="002D0C02" w:rsidRPr="00E75B0C" w:rsidRDefault="002D0C02" w:rsidP="002D0C02">
      <w:pPr>
        <w:pStyle w:val="a3"/>
        <w:numPr>
          <w:ilvl w:val="0"/>
          <w:numId w:val="3"/>
        </w:numPr>
        <w:spacing w:line="240" w:lineRule="auto"/>
        <w:rPr>
          <w:rStyle w:val="hl2"/>
          <w:rFonts w:ascii="Verdana" w:hAnsi="Verdana"/>
          <w:color w:val="auto"/>
          <w:sz w:val="18"/>
          <w:szCs w:val="18"/>
        </w:rPr>
      </w:pPr>
      <w:r w:rsidRPr="00E75B0C">
        <w:rPr>
          <w:rFonts w:ascii="Verdana" w:hAnsi="Verdana"/>
          <w:b/>
          <w:sz w:val="18"/>
          <w:szCs w:val="18"/>
        </w:rPr>
        <w:lastRenderedPageBreak/>
        <w:t>Ο φόρος κατοικήσεως (</w:t>
      </w:r>
      <w:proofErr w:type="spellStart"/>
      <w:r w:rsidR="006233FD" w:rsidRPr="00E75B0C">
        <w:rPr>
          <w:rFonts w:ascii="Verdana" w:hAnsi="Verdana"/>
          <w:b/>
          <w:sz w:val="18"/>
          <w:szCs w:val="18"/>
        </w:rPr>
        <w:t>t</w:t>
      </w:r>
      <w:r w:rsidRPr="00E75B0C">
        <w:rPr>
          <w:rFonts w:ascii="Verdana" w:hAnsi="Verdana"/>
          <w:b/>
          <w:sz w:val="18"/>
          <w:szCs w:val="18"/>
        </w:rPr>
        <w:t>axe</w:t>
      </w:r>
      <w:proofErr w:type="spellEnd"/>
      <w:r w:rsidRPr="00E75B0C">
        <w:rPr>
          <w:rFonts w:ascii="Verdana" w:hAnsi="Verdana"/>
          <w:b/>
          <w:sz w:val="18"/>
          <w:szCs w:val="18"/>
        </w:rPr>
        <w:t xml:space="preserve"> </w:t>
      </w:r>
      <w:proofErr w:type="spellStart"/>
      <w:r w:rsidRPr="00E75B0C">
        <w:rPr>
          <w:rFonts w:ascii="Verdana" w:hAnsi="Verdana"/>
          <w:b/>
          <w:sz w:val="18"/>
          <w:szCs w:val="18"/>
        </w:rPr>
        <w:t>d’habitation</w:t>
      </w:r>
      <w:proofErr w:type="spellEnd"/>
      <w:r w:rsidRPr="00E75B0C">
        <w:rPr>
          <w:rFonts w:ascii="Verdana" w:hAnsi="Verdana"/>
          <w:b/>
          <w:sz w:val="18"/>
          <w:szCs w:val="18"/>
        </w:rPr>
        <w:t xml:space="preserve">, ή </w:t>
      </w:r>
      <w:proofErr w:type="spellStart"/>
      <w:r w:rsidRPr="00E75B0C">
        <w:rPr>
          <w:rFonts w:ascii="Verdana" w:hAnsi="Verdana"/>
          <w:b/>
          <w:sz w:val="18"/>
          <w:szCs w:val="18"/>
        </w:rPr>
        <w:t>residence</w:t>
      </w:r>
      <w:proofErr w:type="spellEnd"/>
      <w:r w:rsidRPr="00E75B0C">
        <w:rPr>
          <w:rFonts w:ascii="Verdana" w:hAnsi="Verdana"/>
          <w:b/>
          <w:sz w:val="18"/>
          <w:szCs w:val="18"/>
        </w:rPr>
        <w:t xml:space="preserve"> tax).</w:t>
      </w:r>
      <w:r w:rsidRPr="00E75B0C">
        <w:rPr>
          <w:rStyle w:val="hl2"/>
          <w:rFonts w:ascii="Verdana" w:hAnsi="Verdana" w:cs="Arial"/>
          <w:iCs/>
          <w:color w:val="auto"/>
          <w:sz w:val="18"/>
          <w:szCs w:val="18"/>
        </w:rPr>
        <w:t xml:space="preserve"> Επιβάλλεται στον διαμένοντα σε ένα ακίνητο την 1</w:t>
      </w:r>
      <w:r w:rsidRPr="00E75B0C">
        <w:rPr>
          <w:rStyle w:val="hl2"/>
          <w:rFonts w:ascii="Verdana" w:hAnsi="Verdana" w:cs="Arial"/>
          <w:iCs/>
          <w:color w:val="auto"/>
          <w:sz w:val="18"/>
          <w:szCs w:val="18"/>
          <w:vertAlign w:val="superscript"/>
        </w:rPr>
        <w:t>η</w:t>
      </w:r>
      <w:r w:rsidRPr="00E75B0C">
        <w:rPr>
          <w:rStyle w:val="hl2"/>
          <w:rFonts w:ascii="Verdana" w:hAnsi="Verdana" w:cs="Arial"/>
          <w:iCs/>
          <w:color w:val="auto"/>
          <w:sz w:val="18"/>
          <w:szCs w:val="18"/>
        </w:rPr>
        <w:t xml:space="preserve"> Ιαν. </w:t>
      </w:r>
      <w:r w:rsidR="00490400" w:rsidRPr="00E75B0C">
        <w:rPr>
          <w:rStyle w:val="hl2"/>
          <w:rFonts w:ascii="Verdana" w:hAnsi="Verdana" w:cs="Arial"/>
          <w:iCs/>
          <w:color w:val="auto"/>
          <w:sz w:val="18"/>
          <w:szCs w:val="18"/>
        </w:rPr>
        <w:t>κάθε</w:t>
      </w:r>
      <w:r w:rsidRPr="00E75B0C">
        <w:rPr>
          <w:rStyle w:val="hl2"/>
          <w:rFonts w:ascii="Verdana" w:hAnsi="Verdana" w:cs="Arial"/>
          <w:iCs/>
          <w:color w:val="auto"/>
          <w:sz w:val="18"/>
          <w:szCs w:val="18"/>
        </w:rPr>
        <w:t xml:space="preserve"> έτους. Ακόμη κι αν το ακίνητο είναι η </w:t>
      </w:r>
      <w:r w:rsidR="00490400" w:rsidRPr="00E75B0C">
        <w:rPr>
          <w:rStyle w:val="hl2"/>
          <w:rFonts w:ascii="Verdana" w:hAnsi="Verdana" w:cs="Arial"/>
          <w:iCs/>
          <w:color w:val="auto"/>
          <w:sz w:val="18"/>
          <w:szCs w:val="18"/>
        </w:rPr>
        <w:t>δεύτερη</w:t>
      </w:r>
      <w:r w:rsidRPr="00E75B0C">
        <w:rPr>
          <w:rStyle w:val="hl2"/>
          <w:rFonts w:ascii="Verdana" w:hAnsi="Verdana" w:cs="Arial"/>
          <w:iCs/>
          <w:color w:val="auto"/>
          <w:sz w:val="18"/>
          <w:szCs w:val="18"/>
        </w:rPr>
        <w:t xml:space="preserve"> κατοικία κάποιου, επιβάλλεται ο φόρος αυτός αρκεί το ακίνητο να «είναι δυνατόν» να κατοικηθεί. </w:t>
      </w:r>
      <w:r w:rsidR="00BB3D37" w:rsidRPr="00E75B0C">
        <w:rPr>
          <w:rStyle w:val="hl2"/>
          <w:rFonts w:ascii="Verdana" w:hAnsi="Verdana" w:cs="Arial"/>
          <w:iCs/>
          <w:color w:val="auto"/>
          <w:sz w:val="18"/>
          <w:szCs w:val="18"/>
        </w:rPr>
        <w:t>Άρα</w:t>
      </w:r>
      <w:r w:rsidR="00490400" w:rsidRPr="00E75B0C">
        <w:rPr>
          <w:rStyle w:val="hl2"/>
          <w:rFonts w:ascii="Verdana" w:hAnsi="Verdana" w:cs="Arial"/>
          <w:iCs/>
          <w:color w:val="auto"/>
          <w:sz w:val="18"/>
          <w:szCs w:val="18"/>
        </w:rPr>
        <w:t>,</w:t>
      </w:r>
      <w:r w:rsidRPr="00E75B0C">
        <w:rPr>
          <w:rStyle w:val="hl2"/>
          <w:rFonts w:ascii="Verdana" w:hAnsi="Verdana" w:cs="Arial"/>
          <w:iCs/>
          <w:color w:val="auto"/>
          <w:sz w:val="18"/>
          <w:szCs w:val="18"/>
        </w:rPr>
        <w:t xml:space="preserve"> ουσιαστικά φορολογείται το δικαίωμα κατοικήσεως κι όχι η εν τη πράξει χρήση του ακινήτου. Αν πάλι ο ιδιοκτήτης ενοικιάζει το ακίνητο σε άλλον, τότε</w:t>
      </w:r>
      <w:r w:rsidR="00490400" w:rsidRPr="00E75B0C">
        <w:rPr>
          <w:rStyle w:val="hl2"/>
          <w:rFonts w:ascii="Verdana" w:hAnsi="Verdana" w:cs="Arial"/>
          <w:iCs/>
          <w:color w:val="auto"/>
          <w:sz w:val="18"/>
          <w:szCs w:val="18"/>
        </w:rPr>
        <w:t xml:space="preserve"> ο φόρος κατοικήσεως βαρύνει το</w:t>
      </w:r>
      <w:r w:rsidRPr="00E75B0C">
        <w:rPr>
          <w:rStyle w:val="hl2"/>
          <w:rFonts w:ascii="Verdana" w:hAnsi="Verdana" w:cs="Arial"/>
          <w:iCs/>
          <w:color w:val="auto"/>
          <w:sz w:val="18"/>
          <w:szCs w:val="18"/>
        </w:rPr>
        <w:t xml:space="preserve"> μισθωτή. Αυτοί που μισθώνουν ένα ακίνητο για διακοπές δεν πληρώνουν το φόρο, μα αν ένας μισθωτής κάνει </w:t>
      </w:r>
      <w:r w:rsidR="00BB3D37" w:rsidRPr="00E75B0C">
        <w:rPr>
          <w:rStyle w:val="hl2"/>
          <w:rFonts w:ascii="Verdana" w:hAnsi="Verdana" w:cs="Arial"/>
          <w:iCs/>
          <w:color w:val="auto"/>
          <w:sz w:val="18"/>
          <w:szCs w:val="18"/>
        </w:rPr>
        <w:t>χρήση</w:t>
      </w:r>
      <w:r w:rsidRPr="00E75B0C">
        <w:rPr>
          <w:rStyle w:val="hl2"/>
          <w:rFonts w:ascii="Verdana" w:hAnsi="Verdana" w:cs="Arial"/>
          <w:iCs/>
          <w:color w:val="auto"/>
          <w:sz w:val="18"/>
          <w:szCs w:val="18"/>
        </w:rPr>
        <w:t xml:space="preserve"> του ακινήτου την 1</w:t>
      </w:r>
      <w:r w:rsidRPr="00E75B0C">
        <w:rPr>
          <w:rStyle w:val="hl2"/>
          <w:rFonts w:ascii="Verdana" w:hAnsi="Verdana" w:cs="Arial"/>
          <w:iCs/>
          <w:color w:val="auto"/>
          <w:sz w:val="18"/>
          <w:szCs w:val="18"/>
          <w:vertAlign w:val="superscript"/>
        </w:rPr>
        <w:t>η</w:t>
      </w:r>
      <w:r w:rsidR="00031501" w:rsidRPr="00E75B0C">
        <w:rPr>
          <w:rStyle w:val="hl2"/>
          <w:rFonts w:ascii="Verdana" w:hAnsi="Verdana" w:cs="Arial"/>
          <w:iCs/>
          <w:color w:val="auto"/>
          <w:sz w:val="18"/>
          <w:szCs w:val="18"/>
        </w:rPr>
        <w:t xml:space="preserve"> Ιαν. σε μόνιμη ή και ημι-μόνιμη</w:t>
      </w:r>
      <w:r w:rsidRPr="00E75B0C">
        <w:rPr>
          <w:rStyle w:val="hl2"/>
          <w:rFonts w:ascii="Verdana" w:hAnsi="Verdana" w:cs="Arial"/>
          <w:iCs/>
          <w:color w:val="auto"/>
          <w:sz w:val="18"/>
          <w:szCs w:val="18"/>
        </w:rPr>
        <w:t xml:space="preserve"> </w:t>
      </w:r>
      <w:r w:rsidR="00BB3D37" w:rsidRPr="00E75B0C">
        <w:rPr>
          <w:rStyle w:val="hl2"/>
          <w:rFonts w:ascii="Verdana" w:hAnsi="Verdana" w:cs="Arial"/>
          <w:iCs/>
          <w:color w:val="auto"/>
          <w:sz w:val="18"/>
          <w:szCs w:val="18"/>
        </w:rPr>
        <w:t>βάση</w:t>
      </w:r>
      <w:r w:rsidRPr="00E75B0C">
        <w:rPr>
          <w:rStyle w:val="hl2"/>
          <w:rFonts w:ascii="Verdana" w:hAnsi="Verdana" w:cs="Arial"/>
          <w:iCs/>
          <w:color w:val="auto"/>
          <w:sz w:val="18"/>
          <w:szCs w:val="18"/>
        </w:rPr>
        <w:t>, πληρώνει το φόρο.</w:t>
      </w:r>
    </w:p>
    <w:p w:rsidR="00031501" w:rsidRPr="00E75B0C" w:rsidRDefault="00490400" w:rsidP="00031501">
      <w:pPr>
        <w:spacing w:line="240" w:lineRule="auto"/>
        <w:ind w:left="1080"/>
        <w:rPr>
          <w:rFonts w:ascii="Verdana" w:hAnsi="Verdana"/>
          <w:sz w:val="18"/>
          <w:szCs w:val="18"/>
        </w:rPr>
      </w:pPr>
      <w:r w:rsidRPr="00E75B0C">
        <w:rPr>
          <w:rFonts w:ascii="Verdana" w:hAnsi="Verdana"/>
          <w:sz w:val="18"/>
          <w:szCs w:val="18"/>
        </w:rPr>
        <w:t>Το ποσό</w:t>
      </w:r>
      <w:r w:rsidR="00031501" w:rsidRPr="00E75B0C">
        <w:rPr>
          <w:rFonts w:ascii="Verdana" w:hAnsi="Verdana"/>
          <w:sz w:val="18"/>
          <w:szCs w:val="18"/>
        </w:rPr>
        <w:t xml:space="preserve"> του φόρου καθορίζεται συνδυαστικά απ’ την ΤΑ (βάσει του εισοδήματος-</w:t>
      </w:r>
      <w:r w:rsidRPr="00E75B0C">
        <w:rPr>
          <w:rFonts w:ascii="Verdana" w:hAnsi="Verdana"/>
          <w:sz w:val="18"/>
          <w:szCs w:val="18"/>
        </w:rPr>
        <w:t xml:space="preserve"> </w:t>
      </w:r>
      <w:r w:rsidR="00031501" w:rsidRPr="00E75B0C">
        <w:rPr>
          <w:rFonts w:ascii="Verdana" w:hAnsi="Verdana"/>
          <w:sz w:val="18"/>
          <w:szCs w:val="18"/>
        </w:rPr>
        <w:t xml:space="preserve">στόχου, που η ΤΑ </w:t>
      </w:r>
      <w:r w:rsidR="009D0730" w:rsidRPr="00E75B0C">
        <w:rPr>
          <w:rFonts w:ascii="Verdana" w:hAnsi="Verdana"/>
          <w:sz w:val="18"/>
          <w:szCs w:val="18"/>
        </w:rPr>
        <w:t>προϋπο</w:t>
      </w:r>
      <w:r w:rsidR="00031501" w:rsidRPr="00E75B0C">
        <w:rPr>
          <w:rFonts w:ascii="Verdana" w:hAnsi="Verdana"/>
          <w:sz w:val="18"/>
          <w:szCs w:val="18"/>
        </w:rPr>
        <w:t xml:space="preserve">λογίζει) και το κεντρικό κράτος (που είναι υπεύθυνο για τον υπολογισμό και </w:t>
      </w:r>
      <w:r w:rsidRPr="00E75B0C">
        <w:rPr>
          <w:rFonts w:ascii="Verdana" w:hAnsi="Verdana"/>
          <w:sz w:val="18"/>
          <w:szCs w:val="18"/>
        </w:rPr>
        <w:t xml:space="preserve">τη </w:t>
      </w:r>
      <w:r w:rsidR="00031501" w:rsidRPr="00E75B0C">
        <w:rPr>
          <w:rFonts w:ascii="Verdana" w:hAnsi="Verdana"/>
          <w:sz w:val="18"/>
          <w:szCs w:val="18"/>
        </w:rPr>
        <w:t xml:space="preserve">συλλογή του φόρου). </w:t>
      </w:r>
    </w:p>
    <w:p w:rsidR="00031501" w:rsidRPr="00E75B0C" w:rsidRDefault="00031501" w:rsidP="00031501">
      <w:pPr>
        <w:spacing w:line="240" w:lineRule="auto"/>
        <w:ind w:left="1080"/>
        <w:rPr>
          <w:rFonts w:ascii="Verdana" w:hAnsi="Verdana"/>
          <w:sz w:val="18"/>
          <w:szCs w:val="18"/>
        </w:rPr>
      </w:pPr>
      <w:r w:rsidRPr="00E75B0C">
        <w:rPr>
          <w:rFonts w:ascii="Verdana" w:hAnsi="Verdana"/>
          <w:sz w:val="18"/>
          <w:szCs w:val="18"/>
        </w:rPr>
        <w:t xml:space="preserve">Ο υπολογισμός γίνεται βάσει τύπου, μα, χονδρικά, βασίζεται στο </w:t>
      </w:r>
      <w:r w:rsidR="009D0730" w:rsidRPr="00E75B0C">
        <w:rPr>
          <w:rFonts w:ascii="Verdana" w:hAnsi="Verdana"/>
          <w:sz w:val="18"/>
          <w:szCs w:val="18"/>
        </w:rPr>
        <w:t xml:space="preserve">ετήσιο </w:t>
      </w:r>
      <w:r w:rsidRPr="00E75B0C">
        <w:rPr>
          <w:rFonts w:ascii="Verdana" w:hAnsi="Verdana"/>
          <w:sz w:val="18"/>
          <w:szCs w:val="18"/>
        </w:rPr>
        <w:t>τεκμαρτό ενοίκιο</w:t>
      </w:r>
      <w:r w:rsidR="009D0730" w:rsidRPr="00E75B0C">
        <w:rPr>
          <w:rFonts w:ascii="Verdana" w:hAnsi="Verdana"/>
          <w:sz w:val="18"/>
          <w:szCs w:val="18"/>
        </w:rPr>
        <w:t xml:space="preserve"> – όχι στην ολική αξία του ακινήτου -</w:t>
      </w:r>
      <w:r w:rsidRPr="00E75B0C">
        <w:rPr>
          <w:rFonts w:ascii="Verdana" w:hAnsi="Verdana"/>
          <w:sz w:val="18"/>
          <w:szCs w:val="18"/>
        </w:rPr>
        <w:t xml:space="preserve">, που το </w:t>
      </w:r>
      <w:r w:rsidR="00BB3D37" w:rsidRPr="00E75B0C">
        <w:rPr>
          <w:rFonts w:ascii="Verdana" w:hAnsi="Verdana"/>
          <w:sz w:val="18"/>
          <w:szCs w:val="18"/>
        </w:rPr>
        <w:t xml:space="preserve">ακίνητο θα </w:t>
      </w:r>
      <w:r w:rsidRPr="00E75B0C">
        <w:rPr>
          <w:rFonts w:ascii="Verdana" w:hAnsi="Verdana"/>
          <w:sz w:val="18"/>
          <w:szCs w:val="18"/>
        </w:rPr>
        <w:t xml:space="preserve">μπορούσε, υποθετικά, να εξασφαλίσει στην αγορά. </w:t>
      </w:r>
    </w:p>
    <w:p w:rsidR="00031501" w:rsidRPr="00E75B0C" w:rsidRDefault="00031501" w:rsidP="00031501">
      <w:pPr>
        <w:spacing w:line="240" w:lineRule="auto"/>
        <w:ind w:left="1080"/>
        <w:rPr>
          <w:rFonts w:ascii="Verdana" w:hAnsi="Verdana"/>
          <w:sz w:val="18"/>
          <w:szCs w:val="18"/>
        </w:rPr>
      </w:pPr>
      <w:r w:rsidRPr="00E75B0C">
        <w:rPr>
          <w:rFonts w:ascii="Verdana" w:hAnsi="Verdana"/>
          <w:sz w:val="18"/>
          <w:szCs w:val="18"/>
        </w:rPr>
        <w:t>Ο φόρος</w:t>
      </w:r>
      <w:r w:rsidR="00D06829" w:rsidRPr="00E75B0C">
        <w:rPr>
          <w:rFonts w:ascii="Verdana" w:hAnsi="Verdana"/>
          <w:sz w:val="18"/>
          <w:szCs w:val="18"/>
        </w:rPr>
        <w:t xml:space="preserve"> (μόνο για την </w:t>
      </w:r>
      <w:r w:rsidR="00490400" w:rsidRPr="00E75B0C">
        <w:rPr>
          <w:rFonts w:ascii="Verdana" w:hAnsi="Verdana"/>
          <w:sz w:val="18"/>
          <w:szCs w:val="18"/>
        </w:rPr>
        <w:t>κύρια</w:t>
      </w:r>
      <w:r w:rsidR="00D06829" w:rsidRPr="00E75B0C">
        <w:rPr>
          <w:rFonts w:ascii="Verdana" w:hAnsi="Verdana"/>
          <w:sz w:val="18"/>
          <w:szCs w:val="18"/>
        </w:rPr>
        <w:t xml:space="preserve"> κατοικία)</w:t>
      </w:r>
      <w:r w:rsidRPr="00E75B0C">
        <w:rPr>
          <w:rFonts w:ascii="Verdana" w:hAnsi="Verdana"/>
          <w:sz w:val="18"/>
          <w:szCs w:val="18"/>
        </w:rPr>
        <w:t xml:space="preserve"> μειώνεται κατά 10% ως 15% </w:t>
      </w:r>
      <w:r w:rsidR="00490400" w:rsidRPr="00E75B0C">
        <w:rPr>
          <w:rFonts w:ascii="Verdana" w:hAnsi="Verdana"/>
          <w:sz w:val="18"/>
          <w:szCs w:val="18"/>
        </w:rPr>
        <w:t xml:space="preserve">για </w:t>
      </w:r>
      <w:r w:rsidRPr="00E75B0C">
        <w:rPr>
          <w:rFonts w:ascii="Verdana" w:hAnsi="Verdana"/>
          <w:sz w:val="18"/>
          <w:szCs w:val="18"/>
        </w:rPr>
        <w:t>έκαστο εξαρτώμενο μέλος</w:t>
      </w:r>
      <w:r w:rsidR="00BB3D37" w:rsidRPr="00E75B0C">
        <w:rPr>
          <w:rFonts w:ascii="Verdana" w:hAnsi="Verdana"/>
          <w:sz w:val="18"/>
          <w:szCs w:val="18"/>
        </w:rPr>
        <w:t xml:space="preserve">. Επιπλέον, η ΤΑ </w:t>
      </w:r>
      <w:r w:rsidR="00D06829" w:rsidRPr="00E75B0C">
        <w:rPr>
          <w:rFonts w:ascii="Verdana" w:hAnsi="Verdana"/>
          <w:sz w:val="18"/>
          <w:szCs w:val="18"/>
        </w:rPr>
        <w:t xml:space="preserve">μπορεί (δεν υποχρεούται) να μειώσει το φόρο έως </w:t>
      </w:r>
      <w:r w:rsidR="00490400" w:rsidRPr="00E75B0C">
        <w:rPr>
          <w:rFonts w:ascii="Verdana" w:hAnsi="Verdana"/>
          <w:sz w:val="18"/>
          <w:szCs w:val="18"/>
        </w:rPr>
        <w:t xml:space="preserve">και </w:t>
      </w:r>
      <w:r w:rsidR="00D06829" w:rsidRPr="00E75B0C">
        <w:rPr>
          <w:rFonts w:ascii="Verdana" w:hAnsi="Verdana"/>
          <w:sz w:val="18"/>
          <w:szCs w:val="18"/>
        </w:rPr>
        <w:t xml:space="preserve">15% (για την </w:t>
      </w:r>
      <w:r w:rsidR="00490400" w:rsidRPr="00E75B0C">
        <w:rPr>
          <w:rFonts w:ascii="Verdana" w:hAnsi="Verdana"/>
          <w:sz w:val="18"/>
          <w:szCs w:val="18"/>
        </w:rPr>
        <w:t>κύρια</w:t>
      </w:r>
      <w:r w:rsidR="00D06829" w:rsidRPr="00E75B0C">
        <w:rPr>
          <w:rFonts w:ascii="Verdana" w:hAnsi="Verdana"/>
          <w:sz w:val="18"/>
          <w:szCs w:val="18"/>
        </w:rPr>
        <w:t xml:space="preserve"> κατοικία) αν ο ιδιοκτήτης έχει «χαμηλό» εισόδημα και αν η αξία του ακινήτου δεν υπερβαίνει το 130% του Μ.Ο. για την συγκεκριμένη περιοχή. </w:t>
      </w:r>
    </w:p>
    <w:p w:rsidR="00D06829" w:rsidRPr="00E75B0C" w:rsidRDefault="00D06829" w:rsidP="00031501">
      <w:pPr>
        <w:spacing w:line="240" w:lineRule="auto"/>
        <w:ind w:left="1080"/>
        <w:rPr>
          <w:rFonts w:ascii="Verdana" w:hAnsi="Verdana"/>
          <w:sz w:val="18"/>
          <w:szCs w:val="18"/>
        </w:rPr>
      </w:pPr>
      <w:r w:rsidRPr="00E75B0C">
        <w:rPr>
          <w:rFonts w:ascii="Verdana" w:hAnsi="Verdana"/>
          <w:sz w:val="18"/>
          <w:szCs w:val="18"/>
        </w:rPr>
        <w:t xml:space="preserve">Τα τεκμαρτά ενοίκια, που αποτελούν τη </w:t>
      </w:r>
      <w:r w:rsidR="00BB3D37" w:rsidRPr="00E75B0C">
        <w:rPr>
          <w:rFonts w:ascii="Verdana" w:hAnsi="Verdana"/>
          <w:sz w:val="18"/>
          <w:szCs w:val="18"/>
        </w:rPr>
        <w:t>βάση</w:t>
      </w:r>
      <w:r w:rsidRPr="00E75B0C">
        <w:rPr>
          <w:rFonts w:ascii="Verdana" w:hAnsi="Verdana"/>
          <w:sz w:val="18"/>
          <w:szCs w:val="18"/>
        </w:rPr>
        <w:t xml:space="preserve"> του φόρου, δεν έχουν </w:t>
      </w:r>
      <w:proofErr w:type="spellStart"/>
      <w:r w:rsidRPr="00E75B0C">
        <w:rPr>
          <w:rFonts w:ascii="Verdana" w:hAnsi="Verdana"/>
          <w:sz w:val="18"/>
          <w:szCs w:val="18"/>
        </w:rPr>
        <w:t>επικαιροποιηθ</w:t>
      </w:r>
      <w:r w:rsidR="00BB3D37" w:rsidRPr="00E75B0C">
        <w:rPr>
          <w:rFonts w:ascii="Verdana" w:hAnsi="Verdana"/>
          <w:sz w:val="18"/>
          <w:szCs w:val="18"/>
        </w:rPr>
        <w:t>εί</w:t>
      </w:r>
      <w:proofErr w:type="spellEnd"/>
      <w:r w:rsidRPr="00E75B0C">
        <w:rPr>
          <w:rFonts w:ascii="Verdana" w:hAnsi="Verdana"/>
          <w:sz w:val="18"/>
          <w:szCs w:val="18"/>
        </w:rPr>
        <w:t xml:space="preserve"> απ’ το 1970, με αντιστοίχως </w:t>
      </w:r>
      <w:r w:rsidR="00971541" w:rsidRPr="00E75B0C">
        <w:rPr>
          <w:rFonts w:ascii="Verdana" w:hAnsi="Verdana"/>
          <w:sz w:val="18"/>
          <w:szCs w:val="18"/>
        </w:rPr>
        <w:t xml:space="preserve">(μάλλον) </w:t>
      </w:r>
      <w:r w:rsidRPr="00E75B0C">
        <w:rPr>
          <w:rFonts w:ascii="Verdana" w:hAnsi="Verdana"/>
          <w:sz w:val="18"/>
          <w:szCs w:val="18"/>
        </w:rPr>
        <w:t xml:space="preserve">ευνοϊκή (για τους ιδιοκτήτες) </w:t>
      </w:r>
      <w:r w:rsidR="00BB3D37" w:rsidRPr="00E75B0C">
        <w:rPr>
          <w:rFonts w:ascii="Verdana" w:hAnsi="Verdana"/>
          <w:sz w:val="18"/>
          <w:szCs w:val="18"/>
        </w:rPr>
        <w:t>επίδραση</w:t>
      </w:r>
      <w:r w:rsidRPr="00E75B0C">
        <w:rPr>
          <w:rFonts w:ascii="Verdana" w:hAnsi="Verdana"/>
          <w:sz w:val="18"/>
          <w:szCs w:val="18"/>
        </w:rPr>
        <w:t xml:space="preserve"> επί της φορολογητέας αξίας (</w:t>
      </w:r>
      <w:proofErr w:type="spellStart"/>
      <w:r w:rsidRPr="00E75B0C">
        <w:rPr>
          <w:rFonts w:ascii="Verdana" w:hAnsi="Verdana"/>
          <w:sz w:val="18"/>
          <w:szCs w:val="18"/>
          <w:lang w:val="en-US"/>
        </w:rPr>
        <w:t>rateable</w:t>
      </w:r>
      <w:proofErr w:type="spellEnd"/>
      <w:r w:rsidRPr="00E75B0C">
        <w:rPr>
          <w:rFonts w:ascii="Verdana" w:hAnsi="Verdana"/>
          <w:sz w:val="18"/>
          <w:szCs w:val="18"/>
        </w:rPr>
        <w:t xml:space="preserve"> </w:t>
      </w:r>
      <w:r w:rsidRPr="00E75B0C">
        <w:rPr>
          <w:rFonts w:ascii="Verdana" w:hAnsi="Verdana"/>
          <w:sz w:val="18"/>
          <w:szCs w:val="18"/>
          <w:lang w:val="en-US"/>
        </w:rPr>
        <w:t>value</w:t>
      </w:r>
      <w:r w:rsidRPr="00E75B0C">
        <w:rPr>
          <w:rFonts w:ascii="Verdana" w:hAnsi="Verdana"/>
          <w:sz w:val="18"/>
          <w:szCs w:val="18"/>
        </w:rPr>
        <w:t xml:space="preserve">) των ακινήτων. </w:t>
      </w:r>
      <w:r w:rsidR="00971541" w:rsidRPr="00E75B0C">
        <w:rPr>
          <w:rFonts w:ascii="Verdana" w:hAnsi="Verdana"/>
          <w:sz w:val="18"/>
          <w:szCs w:val="18"/>
        </w:rPr>
        <w:t>(Βεβαίως</w:t>
      </w:r>
      <w:r w:rsidR="00490400" w:rsidRPr="00E75B0C">
        <w:rPr>
          <w:rFonts w:ascii="Verdana" w:hAnsi="Verdana"/>
          <w:sz w:val="18"/>
          <w:szCs w:val="18"/>
        </w:rPr>
        <w:t>,</w:t>
      </w:r>
      <w:r w:rsidR="00971541" w:rsidRPr="00E75B0C">
        <w:rPr>
          <w:rFonts w:ascii="Verdana" w:hAnsi="Verdana"/>
          <w:sz w:val="18"/>
          <w:szCs w:val="18"/>
        </w:rPr>
        <w:t xml:space="preserve"> τα τεκμαρτά ενοίκια αναπροσαρ</w:t>
      </w:r>
      <w:r w:rsidR="009D0730" w:rsidRPr="00E75B0C">
        <w:rPr>
          <w:rFonts w:ascii="Verdana" w:hAnsi="Verdana"/>
          <w:sz w:val="18"/>
          <w:szCs w:val="18"/>
        </w:rPr>
        <w:t>μό</w:t>
      </w:r>
      <w:r w:rsidR="00971541" w:rsidRPr="00E75B0C">
        <w:rPr>
          <w:rFonts w:ascii="Verdana" w:hAnsi="Verdana"/>
          <w:sz w:val="18"/>
          <w:szCs w:val="18"/>
        </w:rPr>
        <w:t xml:space="preserve">ζονται βάσει του πληθωρισμού, μα αυτό δε σημαίνει πως αντιστοιχούν επακριβώς στα εκάστοτε τρέχοντα ενοίκια της αγοράς.) </w:t>
      </w:r>
      <w:r w:rsidRPr="00E75B0C">
        <w:rPr>
          <w:rFonts w:ascii="Verdana" w:hAnsi="Verdana"/>
          <w:sz w:val="18"/>
          <w:szCs w:val="18"/>
        </w:rPr>
        <w:t xml:space="preserve">Πάντως, αν ο ιδιοκτήτης κάνει σημαντικές επισκευές στο ακίνητο, οφείλει να ενημερώσει την Εφορία, που θα επανεκτιμήσει το ακίνητο αν </w:t>
      </w:r>
      <w:r w:rsidR="00490400" w:rsidRPr="00E75B0C">
        <w:rPr>
          <w:rFonts w:ascii="Verdana" w:hAnsi="Verdana"/>
          <w:sz w:val="18"/>
          <w:szCs w:val="18"/>
        </w:rPr>
        <w:t>οι</w:t>
      </w:r>
      <w:r w:rsidRPr="00E75B0C">
        <w:rPr>
          <w:rFonts w:ascii="Verdana" w:hAnsi="Verdana"/>
          <w:sz w:val="18"/>
          <w:szCs w:val="18"/>
        </w:rPr>
        <w:t xml:space="preserve"> επισκευές αυξάνουν τη φορολογητέα του αξία κατά 10% τουλάχιστον. </w:t>
      </w:r>
    </w:p>
    <w:p w:rsidR="00D06829" w:rsidRPr="00E75B0C" w:rsidRDefault="00D06829" w:rsidP="00031501">
      <w:pPr>
        <w:spacing w:line="240" w:lineRule="auto"/>
        <w:ind w:left="1080"/>
        <w:rPr>
          <w:rFonts w:ascii="Verdana" w:hAnsi="Verdana"/>
          <w:sz w:val="18"/>
          <w:szCs w:val="18"/>
        </w:rPr>
      </w:pPr>
      <w:r w:rsidRPr="00E75B0C">
        <w:rPr>
          <w:rFonts w:ascii="Verdana" w:hAnsi="Verdana"/>
          <w:sz w:val="18"/>
          <w:szCs w:val="18"/>
        </w:rPr>
        <w:t xml:space="preserve">Αναλόγως των εισοδημάτων </w:t>
      </w:r>
      <w:r w:rsidR="00490400" w:rsidRPr="00E75B0C">
        <w:rPr>
          <w:rFonts w:ascii="Verdana" w:hAnsi="Verdana"/>
          <w:sz w:val="18"/>
          <w:szCs w:val="18"/>
        </w:rPr>
        <w:t>τους</w:t>
      </w:r>
      <w:r w:rsidRPr="00E75B0C">
        <w:rPr>
          <w:rFonts w:ascii="Verdana" w:hAnsi="Verdana"/>
          <w:sz w:val="18"/>
          <w:szCs w:val="18"/>
        </w:rPr>
        <w:t>, άτομα άνω των 60 ετών, ή εν χηρεία (ανεξαρτήτως ηλικίας), ή ανάπηρα ή άρρωστα</w:t>
      </w:r>
      <w:r w:rsidR="006233FD" w:rsidRPr="00E75B0C">
        <w:rPr>
          <w:rFonts w:ascii="Verdana" w:hAnsi="Verdana"/>
          <w:sz w:val="18"/>
          <w:szCs w:val="18"/>
        </w:rPr>
        <w:t xml:space="preserve">, </w:t>
      </w:r>
      <w:r w:rsidR="0092064A" w:rsidRPr="00E75B0C">
        <w:rPr>
          <w:rFonts w:ascii="Verdana" w:hAnsi="Verdana"/>
          <w:sz w:val="18"/>
          <w:szCs w:val="18"/>
        </w:rPr>
        <w:t xml:space="preserve">ή άτομα που λαμβάνουν </w:t>
      </w:r>
      <w:proofErr w:type="spellStart"/>
      <w:r w:rsidR="0092064A" w:rsidRPr="00E75B0C">
        <w:rPr>
          <w:rFonts w:ascii="Verdana" w:hAnsi="Verdana" w:cs="Arial"/>
          <w:iCs/>
          <w:color w:val="000000"/>
          <w:sz w:val="18"/>
          <w:szCs w:val="18"/>
          <w:lang w:val="en-US"/>
        </w:rPr>
        <w:t>revenu</w:t>
      </w:r>
      <w:proofErr w:type="spellEnd"/>
      <w:r w:rsidR="0092064A" w:rsidRPr="00E75B0C">
        <w:rPr>
          <w:rFonts w:ascii="Verdana" w:hAnsi="Verdana" w:cs="Arial"/>
          <w:iCs/>
          <w:color w:val="000000"/>
          <w:sz w:val="18"/>
          <w:szCs w:val="18"/>
        </w:rPr>
        <w:t xml:space="preserve"> </w:t>
      </w:r>
      <w:r w:rsidR="0092064A" w:rsidRPr="00E75B0C">
        <w:rPr>
          <w:rFonts w:ascii="Verdana" w:hAnsi="Verdana" w:cs="Arial"/>
          <w:iCs/>
          <w:color w:val="000000"/>
          <w:sz w:val="18"/>
          <w:szCs w:val="18"/>
          <w:lang w:val="en-US"/>
        </w:rPr>
        <w:t>de</w:t>
      </w:r>
      <w:r w:rsidR="0092064A" w:rsidRPr="00E75B0C">
        <w:rPr>
          <w:rFonts w:ascii="Verdana" w:hAnsi="Verdana" w:cs="Arial"/>
          <w:iCs/>
          <w:color w:val="000000"/>
          <w:sz w:val="18"/>
          <w:szCs w:val="18"/>
        </w:rPr>
        <w:t xml:space="preserve"> </w:t>
      </w:r>
      <w:proofErr w:type="spellStart"/>
      <w:r w:rsidR="0092064A" w:rsidRPr="00E75B0C">
        <w:rPr>
          <w:rFonts w:ascii="Verdana" w:hAnsi="Verdana" w:cs="Arial"/>
          <w:iCs/>
          <w:color w:val="000000"/>
          <w:sz w:val="18"/>
          <w:szCs w:val="18"/>
          <w:lang w:val="en-US"/>
        </w:rPr>
        <w:t>solidarit</w:t>
      </w:r>
      <w:proofErr w:type="spellEnd"/>
      <w:r w:rsidR="0092064A" w:rsidRPr="00E75B0C">
        <w:rPr>
          <w:rFonts w:ascii="Verdana" w:hAnsi="Verdana" w:cs="Arial"/>
          <w:iCs/>
          <w:color w:val="000000"/>
          <w:sz w:val="18"/>
          <w:szCs w:val="18"/>
        </w:rPr>
        <w:t xml:space="preserve">é </w:t>
      </w:r>
      <w:r w:rsidR="0092064A" w:rsidRPr="00E75B0C">
        <w:rPr>
          <w:rFonts w:ascii="Verdana" w:hAnsi="Verdana" w:cs="Arial"/>
          <w:iCs/>
          <w:color w:val="000000"/>
          <w:sz w:val="18"/>
          <w:szCs w:val="18"/>
          <w:lang w:val="en-US"/>
        </w:rPr>
        <w:t>active</w:t>
      </w:r>
      <w:r w:rsidR="0092064A" w:rsidRPr="00E75B0C">
        <w:rPr>
          <w:rFonts w:ascii="Verdana" w:hAnsi="Verdana" w:cs="Arial"/>
          <w:iCs/>
          <w:color w:val="000000"/>
          <w:sz w:val="18"/>
          <w:szCs w:val="18"/>
        </w:rPr>
        <w:t xml:space="preserve"> </w:t>
      </w:r>
      <w:r w:rsidR="0092064A" w:rsidRPr="00E75B0C">
        <w:rPr>
          <w:rFonts w:ascii="Verdana" w:hAnsi="Verdana" w:cs="Arial"/>
          <w:iCs/>
          <w:color w:val="000000"/>
          <w:sz w:val="18"/>
          <w:szCs w:val="18"/>
          <w:lang w:val="en-US"/>
        </w:rPr>
        <w:t>de</w:t>
      </w:r>
      <w:r w:rsidR="0092064A" w:rsidRPr="00E75B0C">
        <w:rPr>
          <w:rFonts w:ascii="Verdana" w:hAnsi="Verdana" w:cs="Arial"/>
          <w:iCs/>
          <w:color w:val="000000"/>
          <w:sz w:val="18"/>
          <w:szCs w:val="18"/>
        </w:rPr>
        <w:t xml:space="preserve"> </w:t>
      </w:r>
      <w:r w:rsidR="0092064A" w:rsidRPr="00E75B0C">
        <w:rPr>
          <w:rFonts w:ascii="Verdana" w:hAnsi="Verdana" w:cs="Arial"/>
          <w:iCs/>
          <w:color w:val="000000"/>
          <w:sz w:val="18"/>
          <w:szCs w:val="18"/>
          <w:lang w:val="en-US"/>
        </w:rPr>
        <w:t>base</w:t>
      </w:r>
      <w:r w:rsidR="0092064A" w:rsidRPr="00E75B0C">
        <w:rPr>
          <w:rFonts w:ascii="Verdana" w:hAnsi="Verdana" w:cs="Arial"/>
          <w:iCs/>
          <w:color w:val="000000"/>
          <w:sz w:val="18"/>
          <w:szCs w:val="18"/>
        </w:rPr>
        <w:t xml:space="preserve"> (</w:t>
      </w:r>
      <w:r w:rsidR="0092064A" w:rsidRPr="00E75B0C">
        <w:rPr>
          <w:rFonts w:ascii="Verdana" w:hAnsi="Verdana" w:cs="Arial"/>
          <w:iCs/>
          <w:color w:val="000000"/>
          <w:sz w:val="18"/>
          <w:szCs w:val="18"/>
          <w:lang w:val="en-US"/>
        </w:rPr>
        <w:t>RSA</w:t>
      </w:r>
      <w:r w:rsidR="0092064A" w:rsidRPr="00E75B0C">
        <w:rPr>
          <w:rFonts w:ascii="Verdana" w:hAnsi="Verdana" w:cs="Arial"/>
          <w:iCs/>
          <w:color w:val="000000"/>
          <w:sz w:val="18"/>
          <w:szCs w:val="18"/>
        </w:rPr>
        <w:t xml:space="preserve">), δηλ. επίδομα αλληλεγγύης, </w:t>
      </w:r>
      <w:r w:rsidR="006233FD" w:rsidRPr="00E75B0C">
        <w:rPr>
          <w:rFonts w:ascii="Verdana" w:hAnsi="Verdana"/>
          <w:sz w:val="18"/>
          <w:szCs w:val="18"/>
          <w:u w:val="single"/>
        </w:rPr>
        <w:t>απαλλάσσονται</w:t>
      </w:r>
      <w:r w:rsidR="006233FD" w:rsidRPr="00E75B0C">
        <w:rPr>
          <w:rFonts w:ascii="Verdana" w:hAnsi="Verdana"/>
          <w:sz w:val="18"/>
          <w:szCs w:val="18"/>
        </w:rPr>
        <w:t xml:space="preserve"> απ’ το φόρο (για την </w:t>
      </w:r>
      <w:r w:rsidR="00490400" w:rsidRPr="00E75B0C">
        <w:rPr>
          <w:rFonts w:ascii="Verdana" w:hAnsi="Verdana"/>
          <w:sz w:val="18"/>
          <w:szCs w:val="18"/>
        </w:rPr>
        <w:t>κύρια</w:t>
      </w:r>
      <w:r w:rsidR="009D0730" w:rsidRPr="00E75B0C">
        <w:rPr>
          <w:rFonts w:ascii="Verdana" w:hAnsi="Verdana"/>
          <w:sz w:val="18"/>
          <w:szCs w:val="18"/>
        </w:rPr>
        <w:t xml:space="preserve"> κατοικία </w:t>
      </w:r>
      <w:r w:rsidR="00490400" w:rsidRPr="00E75B0C">
        <w:rPr>
          <w:rFonts w:ascii="Verdana" w:hAnsi="Verdana"/>
          <w:sz w:val="18"/>
          <w:szCs w:val="18"/>
        </w:rPr>
        <w:t>τους</w:t>
      </w:r>
      <w:r w:rsidR="009D0730" w:rsidRPr="00E75B0C">
        <w:rPr>
          <w:rFonts w:ascii="Verdana" w:hAnsi="Verdana"/>
          <w:sz w:val="18"/>
          <w:szCs w:val="18"/>
        </w:rPr>
        <w:t xml:space="preserve"> μόνο) αν, ταυτοχρόνως</w:t>
      </w:r>
      <w:r w:rsidR="006233FD" w:rsidRPr="00E75B0C">
        <w:rPr>
          <w:rFonts w:ascii="Verdana" w:hAnsi="Verdana"/>
          <w:sz w:val="18"/>
          <w:szCs w:val="18"/>
        </w:rPr>
        <w:t xml:space="preserve">, δεν είναι υπόλογα για φόρο περιουσίας. Το όριο για το «χαμηλό» εισόδημα για το 2014 (άρα εισόδημα αποκτηθέν το 2013) είναι, </w:t>
      </w:r>
      <w:r w:rsidR="00BB3D37" w:rsidRPr="00E75B0C">
        <w:rPr>
          <w:rFonts w:ascii="Verdana" w:hAnsi="Verdana"/>
          <w:sz w:val="18"/>
          <w:szCs w:val="18"/>
        </w:rPr>
        <w:t>για</w:t>
      </w:r>
      <w:r w:rsidR="006233FD" w:rsidRPr="00E75B0C">
        <w:rPr>
          <w:rFonts w:ascii="Verdana" w:hAnsi="Verdana"/>
          <w:sz w:val="18"/>
          <w:szCs w:val="18"/>
        </w:rPr>
        <w:t xml:space="preserve"> ένα άτομο, €10,663. </w:t>
      </w:r>
    </w:p>
    <w:p w:rsidR="0092064A" w:rsidRPr="00E75B0C" w:rsidRDefault="0092064A" w:rsidP="00031501">
      <w:pPr>
        <w:spacing w:line="240" w:lineRule="auto"/>
        <w:ind w:left="1080"/>
        <w:rPr>
          <w:rFonts w:ascii="Verdana" w:hAnsi="Verdana"/>
          <w:sz w:val="18"/>
          <w:szCs w:val="18"/>
        </w:rPr>
      </w:pPr>
      <w:r w:rsidRPr="00E75B0C">
        <w:rPr>
          <w:rFonts w:ascii="Verdana" w:hAnsi="Verdana"/>
          <w:sz w:val="18"/>
          <w:szCs w:val="18"/>
          <w:lang w:val="en-US"/>
        </w:rPr>
        <w:t>T</w:t>
      </w:r>
      <w:r w:rsidRPr="00E75B0C">
        <w:rPr>
          <w:rFonts w:ascii="Verdana" w:hAnsi="Verdana"/>
          <w:sz w:val="18"/>
          <w:szCs w:val="18"/>
        </w:rPr>
        <w:t xml:space="preserve">ο όριο αυτό αυξάνει στα </w:t>
      </w:r>
      <w:r w:rsidR="00490400" w:rsidRPr="00E75B0C">
        <w:rPr>
          <w:rFonts w:ascii="Verdana" w:hAnsi="Verdana"/>
          <w:sz w:val="18"/>
          <w:szCs w:val="18"/>
        </w:rPr>
        <w:t>€</w:t>
      </w:r>
      <w:r w:rsidRPr="00E75B0C">
        <w:rPr>
          <w:rFonts w:ascii="Verdana" w:hAnsi="Verdana"/>
          <w:sz w:val="18"/>
          <w:szCs w:val="18"/>
        </w:rPr>
        <w:t xml:space="preserve">16,311 για δύο ενήλικες (ή για έναν ενήλικα και δύο παιδιά), στα </w:t>
      </w:r>
      <w:r w:rsidR="00490400" w:rsidRPr="00E75B0C">
        <w:rPr>
          <w:rFonts w:ascii="Verdana" w:hAnsi="Verdana"/>
          <w:sz w:val="18"/>
          <w:szCs w:val="18"/>
        </w:rPr>
        <w:t>€</w:t>
      </w:r>
      <w:r w:rsidRPr="00E75B0C">
        <w:rPr>
          <w:rFonts w:ascii="Verdana" w:hAnsi="Verdana"/>
          <w:sz w:val="18"/>
          <w:szCs w:val="18"/>
        </w:rPr>
        <w:t xml:space="preserve">19,150 για δύο ενήλικες και ένα παιδί, στα </w:t>
      </w:r>
      <w:r w:rsidR="00490400" w:rsidRPr="00E75B0C">
        <w:rPr>
          <w:rFonts w:ascii="Verdana" w:hAnsi="Verdana"/>
          <w:sz w:val="18"/>
          <w:szCs w:val="18"/>
        </w:rPr>
        <w:t>€</w:t>
      </w:r>
      <w:r w:rsidRPr="00E75B0C">
        <w:rPr>
          <w:rFonts w:ascii="Verdana" w:hAnsi="Verdana"/>
          <w:sz w:val="18"/>
          <w:szCs w:val="18"/>
        </w:rPr>
        <w:t>21,</w:t>
      </w:r>
      <w:r w:rsidR="00DB0BD2" w:rsidRPr="00E75B0C">
        <w:rPr>
          <w:rFonts w:ascii="Verdana" w:hAnsi="Verdana"/>
          <w:sz w:val="18"/>
          <w:szCs w:val="18"/>
        </w:rPr>
        <w:t xml:space="preserve">989 για 3 ενήλικες, </w:t>
      </w:r>
      <w:proofErr w:type="spellStart"/>
      <w:r w:rsidR="00DB0BD2" w:rsidRPr="00E75B0C">
        <w:rPr>
          <w:rFonts w:ascii="Verdana" w:hAnsi="Verdana"/>
          <w:sz w:val="18"/>
          <w:szCs w:val="18"/>
        </w:rPr>
        <w:t>κ.ο.κ</w:t>
      </w:r>
      <w:proofErr w:type="spellEnd"/>
      <w:r w:rsidRPr="00E75B0C">
        <w:rPr>
          <w:rFonts w:ascii="Verdana" w:hAnsi="Verdana"/>
          <w:sz w:val="18"/>
          <w:szCs w:val="18"/>
        </w:rPr>
        <w:t xml:space="preserve">. Δεν πρέπει όμως στην κατοικία να υπάρχει κάποιος (π.χ., τέκνο), του οποίου το εισόδημα υπερβαίνει τα ανωτέρω όρια. </w:t>
      </w:r>
    </w:p>
    <w:p w:rsidR="0092064A" w:rsidRPr="00E75B0C" w:rsidRDefault="0092064A" w:rsidP="00031501">
      <w:pPr>
        <w:spacing w:line="240" w:lineRule="auto"/>
        <w:ind w:left="1080"/>
        <w:rPr>
          <w:rFonts w:ascii="Verdana" w:hAnsi="Verdana"/>
          <w:sz w:val="18"/>
          <w:szCs w:val="18"/>
        </w:rPr>
      </w:pPr>
      <w:r w:rsidRPr="00E75B0C">
        <w:rPr>
          <w:rFonts w:ascii="Verdana" w:hAnsi="Verdana"/>
          <w:sz w:val="18"/>
          <w:szCs w:val="18"/>
        </w:rPr>
        <w:t xml:space="preserve">Σε άλλες περιπτώσεις – πάλι βάσει εισοδηματικών ορίων – προβλέπονται μειώσεις του φόρου. </w:t>
      </w:r>
    </w:p>
    <w:p w:rsidR="006233FD" w:rsidRPr="00E75B0C" w:rsidRDefault="006233FD" w:rsidP="00031501">
      <w:pPr>
        <w:spacing w:line="240" w:lineRule="auto"/>
        <w:ind w:left="1080"/>
        <w:rPr>
          <w:rFonts w:ascii="Verdana" w:hAnsi="Verdana"/>
          <w:sz w:val="18"/>
          <w:szCs w:val="18"/>
        </w:rPr>
      </w:pPr>
      <w:r w:rsidRPr="00E75B0C">
        <w:rPr>
          <w:rFonts w:ascii="Verdana" w:hAnsi="Verdana"/>
          <w:sz w:val="18"/>
          <w:szCs w:val="18"/>
        </w:rPr>
        <w:t xml:space="preserve">Υπάρχει επίσης «φόρος τηλεοράσεως», πληρωτέος μαζί με το φόρο κατοικήσεως, που για το 2014 είναι </w:t>
      </w:r>
      <w:r w:rsidR="009D0730" w:rsidRPr="00E75B0C">
        <w:rPr>
          <w:rFonts w:ascii="Verdana" w:hAnsi="Verdana"/>
          <w:sz w:val="18"/>
          <w:szCs w:val="18"/>
        </w:rPr>
        <w:t>€</w:t>
      </w:r>
      <w:r w:rsidR="00BB3D37" w:rsidRPr="00E75B0C">
        <w:rPr>
          <w:rFonts w:ascii="Verdana" w:hAnsi="Verdana"/>
          <w:sz w:val="18"/>
          <w:szCs w:val="18"/>
        </w:rPr>
        <w:t xml:space="preserve">133 κατ’ έτος ανά </w:t>
      </w:r>
      <w:r w:rsidRPr="00E75B0C">
        <w:rPr>
          <w:rFonts w:ascii="Verdana" w:hAnsi="Verdana"/>
          <w:sz w:val="18"/>
          <w:szCs w:val="18"/>
        </w:rPr>
        <w:t>νοικοκυριό (ανεξαρτήτως του πόσα ακίνητα ή πόσες συσκευές έχει ο ιδιοκτήτης).</w:t>
      </w:r>
    </w:p>
    <w:p w:rsidR="006233FD" w:rsidRPr="00E75B0C" w:rsidRDefault="006233FD" w:rsidP="006233FD">
      <w:pPr>
        <w:pStyle w:val="a3"/>
        <w:numPr>
          <w:ilvl w:val="0"/>
          <w:numId w:val="3"/>
        </w:numPr>
        <w:spacing w:line="240" w:lineRule="auto"/>
        <w:rPr>
          <w:rFonts w:ascii="Verdana" w:hAnsi="Verdana"/>
          <w:sz w:val="18"/>
          <w:szCs w:val="18"/>
        </w:rPr>
      </w:pPr>
      <w:r w:rsidRPr="00E75B0C">
        <w:rPr>
          <w:rFonts w:ascii="Verdana" w:hAnsi="Verdana"/>
          <w:b/>
          <w:sz w:val="18"/>
          <w:szCs w:val="18"/>
        </w:rPr>
        <w:t>Ο φόρος ιδιοκτησίας ακινήτου (</w:t>
      </w:r>
      <w:proofErr w:type="spellStart"/>
      <w:r w:rsidRPr="00E75B0C">
        <w:rPr>
          <w:rFonts w:ascii="Verdana" w:hAnsi="Verdana"/>
          <w:b/>
          <w:sz w:val="18"/>
          <w:szCs w:val="18"/>
          <w:lang w:val="en-US"/>
        </w:rPr>
        <w:t>taxe</w:t>
      </w:r>
      <w:proofErr w:type="spellEnd"/>
      <w:r w:rsidRPr="00E75B0C">
        <w:rPr>
          <w:rFonts w:ascii="Verdana" w:hAnsi="Verdana"/>
          <w:b/>
          <w:sz w:val="18"/>
          <w:szCs w:val="18"/>
        </w:rPr>
        <w:t xml:space="preserve"> </w:t>
      </w:r>
      <w:proofErr w:type="spellStart"/>
      <w:r w:rsidRPr="00E75B0C">
        <w:rPr>
          <w:rFonts w:ascii="Verdana" w:hAnsi="Verdana"/>
          <w:b/>
          <w:sz w:val="18"/>
          <w:szCs w:val="18"/>
          <w:lang w:val="en-US"/>
        </w:rPr>
        <w:t>fonci</w:t>
      </w:r>
      <w:proofErr w:type="spellEnd"/>
      <w:r w:rsidR="00194F5C" w:rsidRPr="00E75B0C">
        <w:rPr>
          <w:rFonts w:ascii="Verdana" w:hAnsi="Verdana"/>
          <w:b/>
          <w:sz w:val="18"/>
          <w:szCs w:val="18"/>
        </w:rPr>
        <w:t>è</w:t>
      </w:r>
      <w:r w:rsidRPr="00E75B0C">
        <w:rPr>
          <w:rFonts w:ascii="Verdana" w:hAnsi="Verdana"/>
          <w:b/>
          <w:sz w:val="18"/>
          <w:szCs w:val="18"/>
          <w:lang w:val="en-US"/>
        </w:rPr>
        <w:t>re</w:t>
      </w:r>
      <w:r w:rsidRPr="00E75B0C">
        <w:rPr>
          <w:rFonts w:ascii="Verdana" w:hAnsi="Verdana"/>
          <w:b/>
          <w:sz w:val="18"/>
          <w:szCs w:val="18"/>
        </w:rPr>
        <w:t xml:space="preserve">, ή </w:t>
      </w:r>
      <w:r w:rsidRPr="00E75B0C">
        <w:rPr>
          <w:rFonts w:ascii="Verdana" w:hAnsi="Verdana"/>
          <w:b/>
          <w:sz w:val="18"/>
          <w:szCs w:val="18"/>
          <w:lang w:val="en-US"/>
        </w:rPr>
        <w:t>property</w:t>
      </w:r>
      <w:r w:rsidRPr="00E75B0C">
        <w:rPr>
          <w:rFonts w:ascii="Verdana" w:hAnsi="Verdana"/>
          <w:b/>
          <w:sz w:val="18"/>
          <w:szCs w:val="18"/>
        </w:rPr>
        <w:t xml:space="preserve"> </w:t>
      </w:r>
      <w:r w:rsidRPr="00E75B0C">
        <w:rPr>
          <w:rFonts w:ascii="Verdana" w:hAnsi="Verdana"/>
          <w:b/>
          <w:sz w:val="18"/>
          <w:szCs w:val="18"/>
          <w:lang w:val="en-US"/>
        </w:rPr>
        <w:t>ownership</w:t>
      </w:r>
      <w:r w:rsidRPr="00E75B0C">
        <w:rPr>
          <w:rFonts w:ascii="Verdana" w:hAnsi="Verdana"/>
          <w:b/>
          <w:sz w:val="18"/>
          <w:szCs w:val="18"/>
        </w:rPr>
        <w:t xml:space="preserve"> </w:t>
      </w:r>
      <w:r w:rsidRPr="00E75B0C">
        <w:rPr>
          <w:rFonts w:ascii="Verdana" w:hAnsi="Verdana"/>
          <w:b/>
          <w:sz w:val="18"/>
          <w:szCs w:val="18"/>
          <w:lang w:val="en-US"/>
        </w:rPr>
        <w:t>tax</w:t>
      </w:r>
      <w:r w:rsidRPr="00E75B0C">
        <w:rPr>
          <w:rFonts w:ascii="Verdana" w:hAnsi="Verdana"/>
          <w:b/>
          <w:sz w:val="18"/>
          <w:szCs w:val="18"/>
        </w:rPr>
        <w:t>)</w:t>
      </w:r>
      <w:r w:rsidRPr="00E75B0C">
        <w:rPr>
          <w:rFonts w:ascii="Verdana" w:hAnsi="Verdana"/>
          <w:sz w:val="18"/>
          <w:szCs w:val="18"/>
        </w:rPr>
        <w:t xml:space="preserve">. </w:t>
      </w:r>
      <w:r w:rsidR="00490400" w:rsidRPr="00E75B0C">
        <w:rPr>
          <w:rFonts w:ascii="Verdana" w:hAnsi="Verdana"/>
          <w:sz w:val="18"/>
          <w:szCs w:val="18"/>
        </w:rPr>
        <w:t>Υπόλογος για το</w:t>
      </w:r>
      <w:r w:rsidR="00F81A29" w:rsidRPr="00E75B0C">
        <w:rPr>
          <w:rFonts w:ascii="Verdana" w:hAnsi="Verdana"/>
          <w:sz w:val="18"/>
          <w:szCs w:val="18"/>
        </w:rPr>
        <w:t xml:space="preserve"> φόρο είναι ο ιδιοκτήτης. </w:t>
      </w:r>
      <w:r w:rsidR="00BB3D37" w:rsidRPr="00E75B0C">
        <w:rPr>
          <w:rFonts w:ascii="Verdana" w:hAnsi="Verdana"/>
          <w:sz w:val="18"/>
          <w:szCs w:val="18"/>
        </w:rPr>
        <w:t>Όπως</w:t>
      </w:r>
      <w:r w:rsidR="00F81A29" w:rsidRPr="00E75B0C">
        <w:rPr>
          <w:rFonts w:ascii="Verdana" w:hAnsi="Verdana"/>
          <w:sz w:val="18"/>
          <w:szCs w:val="18"/>
        </w:rPr>
        <w:t xml:space="preserve"> και στην </w:t>
      </w:r>
      <w:r w:rsidR="00BB3D37" w:rsidRPr="00E75B0C">
        <w:rPr>
          <w:rFonts w:ascii="Verdana" w:hAnsi="Verdana"/>
          <w:sz w:val="18"/>
          <w:szCs w:val="18"/>
        </w:rPr>
        <w:t>περίπτωση</w:t>
      </w:r>
      <w:r w:rsidR="00F81A29" w:rsidRPr="00E75B0C">
        <w:rPr>
          <w:rFonts w:ascii="Verdana" w:hAnsi="Verdana"/>
          <w:sz w:val="18"/>
          <w:szCs w:val="18"/>
        </w:rPr>
        <w:t xml:space="preserve"> του φόρου κατοικήσεως, ο φόρος ιδιοκτησίας καθορίζεται συνδυαστικά με παρόμοιο τρόπο απ’ την ΤΑ (βάσει εισοδήματος-στόχου, που θέτει η ιδία) και το κεντρικό κράτος (που υπολογίζει και συλλέγει το φόρο). Η φορολογητέα αξία, πάντως, μειώνεται κατά 50% ώστε να λάβει υπ’ όψιν τρέχοντα κόστη, όπως επισκευές, ασφάλεια κ.α.</w:t>
      </w:r>
    </w:p>
    <w:p w:rsidR="00F81A29" w:rsidRPr="00E75B0C" w:rsidRDefault="00BB3D37" w:rsidP="00F81A29">
      <w:pPr>
        <w:spacing w:line="240" w:lineRule="auto"/>
        <w:ind w:left="1080"/>
        <w:rPr>
          <w:rFonts w:ascii="Verdana" w:hAnsi="Verdana"/>
          <w:sz w:val="18"/>
          <w:szCs w:val="18"/>
        </w:rPr>
      </w:pPr>
      <w:r w:rsidRPr="00E75B0C">
        <w:rPr>
          <w:rFonts w:ascii="Verdana" w:hAnsi="Verdana"/>
          <w:sz w:val="18"/>
          <w:szCs w:val="18"/>
        </w:rPr>
        <w:t>Όπως</w:t>
      </w:r>
      <w:r w:rsidR="00F81A29" w:rsidRPr="00E75B0C">
        <w:rPr>
          <w:rFonts w:ascii="Verdana" w:hAnsi="Verdana"/>
          <w:sz w:val="18"/>
          <w:szCs w:val="18"/>
        </w:rPr>
        <w:t xml:space="preserve"> και στην </w:t>
      </w:r>
      <w:r w:rsidRPr="00E75B0C">
        <w:rPr>
          <w:rFonts w:ascii="Verdana" w:hAnsi="Verdana"/>
          <w:sz w:val="18"/>
          <w:szCs w:val="18"/>
        </w:rPr>
        <w:t>περίπτωση</w:t>
      </w:r>
      <w:r w:rsidR="00F81A29" w:rsidRPr="00E75B0C">
        <w:rPr>
          <w:rFonts w:ascii="Verdana" w:hAnsi="Verdana"/>
          <w:sz w:val="18"/>
          <w:szCs w:val="18"/>
        </w:rPr>
        <w:t xml:space="preserve"> του φόρου κατοικήσεως, υπάρχουν και εδώ απαλλαγές και μειώσεις, μα </w:t>
      </w:r>
      <w:r w:rsidRPr="00E75B0C">
        <w:rPr>
          <w:rFonts w:ascii="Verdana" w:hAnsi="Verdana"/>
          <w:sz w:val="18"/>
          <w:szCs w:val="18"/>
        </w:rPr>
        <w:t>λιγότερο</w:t>
      </w:r>
      <w:r w:rsidR="00F81A29" w:rsidRPr="00E75B0C">
        <w:rPr>
          <w:rFonts w:ascii="Verdana" w:hAnsi="Verdana"/>
          <w:sz w:val="18"/>
          <w:szCs w:val="18"/>
        </w:rPr>
        <w:t xml:space="preserve"> «γενναιόδωρες» απ’ </w:t>
      </w:r>
      <w:r w:rsidR="00E50744" w:rsidRPr="00E75B0C">
        <w:rPr>
          <w:rFonts w:ascii="Verdana" w:hAnsi="Verdana"/>
          <w:sz w:val="18"/>
          <w:szCs w:val="18"/>
        </w:rPr>
        <w:t>ότι</w:t>
      </w:r>
      <w:r w:rsidR="00F81A29" w:rsidRPr="00E75B0C">
        <w:rPr>
          <w:rFonts w:ascii="Verdana" w:hAnsi="Verdana"/>
          <w:sz w:val="18"/>
          <w:szCs w:val="18"/>
        </w:rPr>
        <w:t xml:space="preserve"> με το φόρο </w:t>
      </w:r>
      <w:r w:rsidR="00F81A29" w:rsidRPr="00E75B0C">
        <w:rPr>
          <w:rFonts w:ascii="Verdana" w:hAnsi="Verdana"/>
          <w:sz w:val="18"/>
          <w:szCs w:val="18"/>
        </w:rPr>
        <w:lastRenderedPageBreak/>
        <w:t>κατ</w:t>
      </w:r>
      <w:r w:rsidR="007F5E0D" w:rsidRPr="00E75B0C">
        <w:rPr>
          <w:rFonts w:ascii="Verdana" w:hAnsi="Verdana"/>
          <w:sz w:val="18"/>
          <w:szCs w:val="18"/>
        </w:rPr>
        <w:t>οικήσεως. Π.χ., απαλλαγή απ’ το</w:t>
      </w:r>
      <w:r w:rsidR="00F81A29" w:rsidRPr="00E75B0C">
        <w:rPr>
          <w:rFonts w:ascii="Verdana" w:hAnsi="Verdana"/>
          <w:sz w:val="18"/>
          <w:szCs w:val="18"/>
        </w:rPr>
        <w:t xml:space="preserve"> φόρο (αν ταυτοχρόνως έχουν «χαμηλό» εισόδημα) έχουν άτομα άνω των </w:t>
      </w:r>
      <w:r w:rsidR="00544011" w:rsidRPr="00E75B0C">
        <w:rPr>
          <w:rFonts w:ascii="Verdana" w:hAnsi="Verdana"/>
          <w:sz w:val="18"/>
          <w:szCs w:val="18"/>
        </w:rPr>
        <w:t>75, όχι άνω των 60.</w:t>
      </w:r>
    </w:p>
    <w:p w:rsidR="00544011" w:rsidRPr="00E75B0C" w:rsidRDefault="00A6682A" w:rsidP="00283C05">
      <w:pPr>
        <w:spacing w:line="240" w:lineRule="auto"/>
        <w:rPr>
          <w:rFonts w:ascii="Verdana" w:hAnsi="Verdana"/>
          <w:sz w:val="18"/>
          <w:szCs w:val="18"/>
        </w:rPr>
      </w:pPr>
      <w:r w:rsidRPr="00E75B0C">
        <w:rPr>
          <w:rFonts w:ascii="Verdana" w:hAnsi="Verdana"/>
          <w:sz w:val="18"/>
          <w:szCs w:val="18"/>
        </w:rPr>
        <w:t xml:space="preserve">Στον Πίν. </w:t>
      </w:r>
      <w:r w:rsidR="005E32C6">
        <w:rPr>
          <w:rFonts w:ascii="Verdana" w:hAnsi="Verdana"/>
          <w:sz w:val="18"/>
          <w:szCs w:val="18"/>
        </w:rPr>
        <w:t>2</w:t>
      </w:r>
      <w:r w:rsidRPr="00E75B0C">
        <w:rPr>
          <w:rFonts w:ascii="Verdana" w:hAnsi="Verdana"/>
          <w:sz w:val="18"/>
          <w:szCs w:val="18"/>
        </w:rPr>
        <w:t>, παρακάτω, δίνουμε μία εικόνα των φόρων κατοχής στην Γαλλία (10 πόλεις, 2013).</w:t>
      </w:r>
    </w:p>
    <w:p w:rsidR="00283C05" w:rsidRPr="00E75B0C" w:rsidRDefault="00283C05" w:rsidP="00283C05">
      <w:pPr>
        <w:spacing w:line="240" w:lineRule="auto"/>
        <w:rPr>
          <w:rFonts w:ascii="Verdana" w:hAnsi="Verdana"/>
          <w:sz w:val="18"/>
          <w:szCs w:val="18"/>
        </w:rPr>
      </w:pPr>
    </w:p>
    <w:p w:rsidR="00A6682A" w:rsidRPr="00E75B0C" w:rsidRDefault="00A6682A">
      <w:pPr>
        <w:rPr>
          <w:rFonts w:ascii="Verdana" w:hAnsi="Verdana"/>
          <w:sz w:val="18"/>
          <w:szCs w:val="18"/>
        </w:rPr>
      </w:pPr>
      <w:r w:rsidRPr="00E75B0C">
        <w:rPr>
          <w:rFonts w:ascii="Verdana" w:hAnsi="Verdana"/>
          <w:sz w:val="18"/>
          <w:szCs w:val="18"/>
        </w:rPr>
        <w:br w:type="page"/>
      </w:r>
    </w:p>
    <w:p w:rsidR="00A6682A" w:rsidRPr="00E75B0C" w:rsidRDefault="00A6682A" w:rsidP="00283C05">
      <w:pPr>
        <w:spacing w:line="240" w:lineRule="auto"/>
        <w:rPr>
          <w:rFonts w:ascii="Verdana" w:hAnsi="Verdana"/>
          <w:sz w:val="18"/>
          <w:szCs w:val="18"/>
        </w:rPr>
        <w:sectPr w:rsidR="00A6682A" w:rsidRPr="00E75B0C" w:rsidSect="00A6682A">
          <w:pgSz w:w="11906" w:h="16838"/>
          <w:pgMar w:top="1440" w:right="1797" w:bottom="1440" w:left="1797" w:header="709" w:footer="709" w:gutter="0"/>
          <w:cols w:space="708"/>
          <w:docGrid w:linePitch="360"/>
        </w:sectPr>
      </w:pPr>
    </w:p>
    <w:tbl>
      <w:tblPr>
        <w:tblW w:w="13780" w:type="dxa"/>
        <w:jc w:val="center"/>
        <w:tblInd w:w="1138" w:type="dxa"/>
        <w:tblLook w:val="04A0" w:firstRow="1" w:lastRow="0" w:firstColumn="1" w:lastColumn="0" w:noHBand="0" w:noVBand="1"/>
      </w:tblPr>
      <w:tblGrid>
        <w:gridCol w:w="1560"/>
        <w:gridCol w:w="960"/>
        <w:gridCol w:w="960"/>
        <w:gridCol w:w="960"/>
        <w:gridCol w:w="960"/>
        <w:gridCol w:w="1660"/>
        <w:gridCol w:w="960"/>
        <w:gridCol w:w="960"/>
        <w:gridCol w:w="960"/>
        <w:gridCol w:w="960"/>
        <w:gridCol w:w="960"/>
        <w:gridCol w:w="960"/>
        <w:gridCol w:w="960"/>
      </w:tblGrid>
      <w:tr w:rsidR="00A6682A" w:rsidRPr="00E75B0C" w:rsidTr="005E32C6">
        <w:trPr>
          <w:trHeight w:val="375"/>
          <w:jc w:val="center"/>
        </w:trPr>
        <w:tc>
          <w:tcPr>
            <w:tcW w:w="7060" w:type="dxa"/>
            <w:gridSpan w:val="6"/>
            <w:tcBorders>
              <w:top w:val="nil"/>
              <w:left w:val="nil"/>
              <w:bottom w:val="nil"/>
              <w:right w:val="nil"/>
            </w:tcBorders>
            <w:shd w:val="clear" w:color="auto" w:fill="auto"/>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lastRenderedPageBreak/>
              <w:t>Πίν. 2: Φόροι κατοχής σε 10 γαλλικές πόλεις το 2013.</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9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1920" w:type="dxa"/>
            <w:gridSpan w:val="2"/>
            <w:tcBorders>
              <w:top w:val="nil"/>
              <w:left w:val="nil"/>
              <w:bottom w:val="nil"/>
              <w:right w:val="nil"/>
            </w:tcBorders>
            <w:shd w:val="clear" w:color="auto" w:fill="auto"/>
            <w:noWrap/>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Taxe</w:t>
            </w:r>
            <w:proofErr w:type="spellEnd"/>
            <w:r w:rsidRPr="00E75B0C">
              <w:rPr>
                <w:rFonts w:ascii="Verdana" w:eastAsia="Times New Roman" w:hAnsi="Verdana" w:cs="Times New Roman"/>
                <w:color w:val="000000"/>
                <w:sz w:val="18"/>
                <w:szCs w:val="18"/>
                <w:lang w:eastAsia="el-GR"/>
              </w:rPr>
              <w:t xml:space="preserve"> </w:t>
            </w:r>
            <w:proofErr w:type="spellStart"/>
            <w:r w:rsidRPr="00E75B0C">
              <w:rPr>
                <w:rFonts w:ascii="Verdana" w:eastAsia="Times New Roman" w:hAnsi="Verdana" w:cs="Times New Roman"/>
                <w:color w:val="000000"/>
                <w:sz w:val="18"/>
                <w:szCs w:val="18"/>
                <w:lang w:eastAsia="el-GR"/>
              </w:rPr>
              <w:t>d'habitation</w:t>
            </w:r>
            <w:proofErr w:type="spellEnd"/>
          </w:p>
        </w:tc>
        <w:tc>
          <w:tcPr>
            <w:tcW w:w="1920" w:type="dxa"/>
            <w:gridSpan w:val="2"/>
            <w:tcBorders>
              <w:top w:val="nil"/>
              <w:left w:val="nil"/>
              <w:bottom w:val="nil"/>
              <w:right w:val="nil"/>
            </w:tcBorders>
            <w:shd w:val="clear" w:color="auto" w:fill="auto"/>
            <w:noWrap/>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Taxe</w:t>
            </w:r>
            <w:proofErr w:type="spellEnd"/>
            <w:r w:rsidRPr="00E75B0C">
              <w:rPr>
                <w:rFonts w:ascii="Verdana" w:eastAsia="Times New Roman" w:hAnsi="Verdana" w:cs="Times New Roman"/>
                <w:color w:val="000000"/>
                <w:sz w:val="18"/>
                <w:szCs w:val="18"/>
                <w:lang w:eastAsia="el-GR"/>
              </w:rPr>
              <w:t xml:space="preserve"> </w:t>
            </w:r>
            <w:proofErr w:type="spellStart"/>
            <w:r w:rsidRPr="00E75B0C">
              <w:rPr>
                <w:rFonts w:ascii="Verdana" w:eastAsia="Times New Roman" w:hAnsi="Verdana" w:cs="Times New Roman"/>
                <w:color w:val="000000"/>
                <w:sz w:val="18"/>
                <w:szCs w:val="18"/>
                <w:lang w:eastAsia="el-GR"/>
              </w:rPr>
              <w:t>fonciere</w:t>
            </w:r>
            <w:proofErr w:type="spellEnd"/>
          </w:p>
        </w:tc>
        <w:tc>
          <w:tcPr>
            <w:tcW w:w="1660" w:type="dxa"/>
            <w:tcBorders>
              <w:top w:val="nil"/>
              <w:left w:val="nil"/>
              <w:bottom w:val="nil"/>
              <w:right w:val="nil"/>
            </w:tcBorders>
            <w:shd w:val="clear" w:color="auto" w:fill="auto"/>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Σύνολο φόρων κατοχής</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5E32C6" w:rsidRDefault="00A6682A" w:rsidP="00A6682A">
            <w:pPr>
              <w:spacing w:after="0" w:line="240" w:lineRule="auto"/>
              <w:jc w:val="left"/>
              <w:rPr>
                <w:rFonts w:ascii="Verdana" w:eastAsia="Times New Roman" w:hAnsi="Verdana" w:cs="Times New Roman"/>
                <w:b/>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12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Ποσόν*</w:t>
            </w:r>
          </w:p>
        </w:tc>
        <w:tc>
          <w:tcPr>
            <w:tcW w:w="960" w:type="dxa"/>
            <w:tcBorders>
              <w:top w:val="nil"/>
              <w:left w:val="nil"/>
              <w:bottom w:val="nil"/>
              <w:right w:val="nil"/>
            </w:tcBorders>
            <w:shd w:val="clear" w:color="auto" w:fill="auto"/>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ορισθέν απ' την ΤΑ</w:t>
            </w:r>
          </w:p>
        </w:tc>
        <w:tc>
          <w:tcPr>
            <w:tcW w:w="960" w:type="dxa"/>
            <w:tcBorders>
              <w:top w:val="nil"/>
              <w:left w:val="nil"/>
              <w:bottom w:val="nil"/>
              <w:right w:val="nil"/>
            </w:tcBorders>
            <w:shd w:val="clear" w:color="auto" w:fill="auto"/>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Ποσόν*</w:t>
            </w:r>
          </w:p>
        </w:tc>
        <w:tc>
          <w:tcPr>
            <w:tcW w:w="960" w:type="dxa"/>
            <w:tcBorders>
              <w:top w:val="nil"/>
              <w:left w:val="nil"/>
              <w:bottom w:val="nil"/>
              <w:right w:val="nil"/>
            </w:tcBorders>
            <w:shd w:val="clear" w:color="auto" w:fill="auto"/>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ορισθέν απ' την ΤΑ</w:t>
            </w:r>
          </w:p>
        </w:tc>
        <w:tc>
          <w:tcPr>
            <w:tcW w:w="1660" w:type="dxa"/>
            <w:tcBorders>
              <w:top w:val="nil"/>
              <w:left w:val="nil"/>
              <w:bottom w:val="nil"/>
              <w:right w:val="nil"/>
            </w:tcBorders>
            <w:shd w:val="clear" w:color="auto" w:fill="auto"/>
            <w:noWrap/>
            <w:vAlign w:val="center"/>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Paris</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462</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13.38%</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635</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8.37%</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1,097</w:t>
            </w: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Lille</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966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33.55%</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589</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23.56%</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1,555</w:t>
            </w: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Lyon</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902</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21.30%</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726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17.17%</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1,628</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Strasbourg</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965</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24.06%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685</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21.30%</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1,650</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Toulouse</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911</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15.87%</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1,061</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17.64%</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1,972</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Nice</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1,022</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21.33%</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993</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23.12%</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2,015</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Marseille</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1,216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27.23%</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891</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22.90%</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2,107</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Bordeaux</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1,154</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22.98%</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1,172</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28.10%</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2,326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Amiens</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1,166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17.97%</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1,322</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27.76%</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2,488</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roofErr w:type="spellStart"/>
            <w:r w:rsidRPr="00E75B0C">
              <w:rPr>
                <w:rFonts w:ascii="Verdana" w:eastAsia="Times New Roman" w:hAnsi="Verdana" w:cs="Times New Roman"/>
                <w:color w:val="000000"/>
                <w:sz w:val="18"/>
                <w:szCs w:val="18"/>
                <w:lang w:eastAsia="el-GR"/>
              </w:rPr>
              <w:t>Montpellier</w:t>
            </w:r>
            <w:proofErr w:type="spellEnd"/>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1,246</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22.49%</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1,305</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31.18%</w:t>
            </w: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center"/>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2,551</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8020" w:type="dxa"/>
            <w:gridSpan w:val="7"/>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 Μ. Ο. για</w:t>
            </w:r>
            <w:r w:rsidR="005E32C6">
              <w:rPr>
                <w:rFonts w:ascii="Verdana" w:eastAsia="Times New Roman" w:hAnsi="Verdana" w:cs="Times New Roman"/>
                <w:color w:val="000000"/>
                <w:sz w:val="18"/>
                <w:szCs w:val="18"/>
                <w:lang w:eastAsia="el-GR"/>
              </w:rPr>
              <w:t xml:space="preserve"> οικογένεια με 2 παιδιά, που ζει</w:t>
            </w:r>
            <w:r w:rsidRPr="00E75B0C">
              <w:rPr>
                <w:rFonts w:ascii="Verdana" w:eastAsia="Times New Roman" w:hAnsi="Verdana" w:cs="Times New Roman"/>
                <w:color w:val="000000"/>
                <w:sz w:val="18"/>
                <w:szCs w:val="18"/>
                <w:lang w:eastAsia="el-GR"/>
              </w:rPr>
              <w:t xml:space="preserve"> στο ακίνητό της, με εισόδημα 42,923.</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5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Πηγές:</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16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1860" w:type="dxa"/>
            <w:gridSpan w:val="11"/>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http://frenchpropertytrend.wordpress.com/2013/09/21/local-property-taxes-in-france-remain-stable-before-2014-elections/</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2820" w:type="dxa"/>
            <w:gridSpan w:val="12"/>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http://frenchpropertytrend.wordpress.com/2013/09/18/french-property-local-taxes-rate-and-ranking-of-taxe-dhabitation-by-cities/</w:t>
            </w:r>
          </w:p>
        </w:tc>
        <w:tc>
          <w:tcPr>
            <w:tcW w:w="960" w:type="dxa"/>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p>
        </w:tc>
      </w:tr>
      <w:tr w:rsidR="00A6682A" w:rsidRPr="00E75B0C" w:rsidTr="005E32C6">
        <w:trPr>
          <w:trHeight w:val="300"/>
          <w:jc w:val="center"/>
        </w:trPr>
        <w:tc>
          <w:tcPr>
            <w:tcW w:w="13780" w:type="dxa"/>
            <w:gridSpan w:val="13"/>
            <w:tcBorders>
              <w:top w:val="nil"/>
              <w:left w:val="nil"/>
              <w:bottom w:val="nil"/>
              <w:right w:val="nil"/>
            </w:tcBorders>
            <w:shd w:val="clear" w:color="auto" w:fill="auto"/>
            <w:noWrap/>
            <w:vAlign w:val="bottom"/>
            <w:hideMark/>
          </w:tcPr>
          <w:p w:rsidR="00A6682A" w:rsidRPr="00E75B0C" w:rsidRDefault="00A6682A" w:rsidP="00A6682A">
            <w:pPr>
              <w:spacing w:after="0" w:line="240" w:lineRule="auto"/>
              <w:jc w:val="left"/>
              <w:rPr>
                <w:rFonts w:ascii="Verdana" w:eastAsia="Times New Roman" w:hAnsi="Verdana" w:cs="Times New Roman"/>
                <w:color w:val="000000"/>
                <w:sz w:val="18"/>
                <w:szCs w:val="18"/>
                <w:lang w:eastAsia="el-GR"/>
              </w:rPr>
            </w:pPr>
            <w:r w:rsidRPr="00E75B0C">
              <w:rPr>
                <w:rFonts w:ascii="Verdana" w:eastAsia="Times New Roman" w:hAnsi="Verdana" w:cs="Times New Roman"/>
                <w:color w:val="000000"/>
                <w:sz w:val="18"/>
                <w:szCs w:val="18"/>
                <w:lang w:eastAsia="el-GR"/>
              </w:rPr>
              <w:t>http://frenchpropertytrend.wordpress.com/2013/09/13/french-property-tax-2013-taxe-fonciere-ranking-and-rate-for-towns-above-50-000-people/</w:t>
            </w:r>
          </w:p>
        </w:tc>
      </w:tr>
    </w:tbl>
    <w:p w:rsidR="00283C05" w:rsidRPr="00E75B0C" w:rsidRDefault="00283C05" w:rsidP="00283C05">
      <w:pPr>
        <w:spacing w:line="240" w:lineRule="auto"/>
        <w:rPr>
          <w:rFonts w:ascii="Verdana" w:hAnsi="Verdana"/>
          <w:sz w:val="18"/>
          <w:szCs w:val="18"/>
        </w:rPr>
      </w:pPr>
    </w:p>
    <w:p w:rsidR="00A6682A" w:rsidRPr="00E75B0C" w:rsidRDefault="00A6682A">
      <w:pPr>
        <w:rPr>
          <w:rFonts w:ascii="Verdana" w:hAnsi="Verdana"/>
          <w:sz w:val="18"/>
          <w:szCs w:val="18"/>
        </w:rPr>
        <w:sectPr w:rsidR="00A6682A" w:rsidRPr="00E75B0C" w:rsidSect="00A6682A">
          <w:headerReference w:type="default" r:id="rId27"/>
          <w:pgSz w:w="16838" w:h="11906" w:orient="landscape"/>
          <w:pgMar w:top="1797" w:right="1440" w:bottom="1797" w:left="1440" w:header="709" w:footer="709" w:gutter="0"/>
          <w:cols w:space="708"/>
          <w:docGrid w:linePitch="360"/>
        </w:sectPr>
      </w:pPr>
    </w:p>
    <w:p w:rsidR="00283C05" w:rsidRPr="00E75B0C" w:rsidRDefault="00283C05" w:rsidP="00283C05">
      <w:pPr>
        <w:spacing w:line="240" w:lineRule="auto"/>
        <w:rPr>
          <w:rFonts w:ascii="Verdana" w:hAnsi="Verdana"/>
          <w:sz w:val="18"/>
          <w:szCs w:val="18"/>
        </w:rPr>
      </w:pPr>
    </w:p>
    <w:p w:rsidR="00544011" w:rsidRPr="00E75B0C" w:rsidRDefault="00811EC5" w:rsidP="00544011">
      <w:pPr>
        <w:spacing w:line="240" w:lineRule="auto"/>
        <w:rPr>
          <w:rFonts w:ascii="Verdana" w:hAnsi="Verdana"/>
          <w:b/>
          <w:sz w:val="18"/>
          <w:szCs w:val="18"/>
          <w:lang w:val="en-US"/>
        </w:rPr>
      </w:pPr>
      <w:r w:rsidRPr="00E75B0C">
        <w:rPr>
          <w:rFonts w:ascii="Verdana" w:hAnsi="Verdana"/>
          <w:b/>
          <w:sz w:val="18"/>
          <w:szCs w:val="18"/>
          <w:lang w:val="en-US"/>
        </w:rPr>
        <w:t>(</w:t>
      </w:r>
      <w:r w:rsidRPr="00E75B0C">
        <w:rPr>
          <w:rFonts w:ascii="Verdana" w:hAnsi="Verdana"/>
          <w:b/>
          <w:sz w:val="18"/>
          <w:szCs w:val="18"/>
        </w:rPr>
        <w:t>Γ</w:t>
      </w:r>
      <w:r w:rsidRPr="00E75B0C">
        <w:rPr>
          <w:rFonts w:ascii="Verdana" w:hAnsi="Verdana"/>
          <w:b/>
          <w:sz w:val="18"/>
          <w:szCs w:val="18"/>
          <w:lang w:val="en-US"/>
        </w:rPr>
        <w:t xml:space="preserve">) </w:t>
      </w:r>
      <w:r w:rsidR="00544011" w:rsidRPr="00E75B0C">
        <w:rPr>
          <w:rFonts w:ascii="Verdana" w:hAnsi="Verdana"/>
          <w:b/>
          <w:sz w:val="18"/>
          <w:szCs w:val="18"/>
        </w:rPr>
        <w:t>Φόρος</w:t>
      </w:r>
      <w:r w:rsidR="00544011" w:rsidRPr="00E75B0C">
        <w:rPr>
          <w:rFonts w:ascii="Verdana" w:hAnsi="Verdana"/>
          <w:b/>
          <w:sz w:val="18"/>
          <w:szCs w:val="18"/>
          <w:lang w:val="en-US"/>
        </w:rPr>
        <w:t xml:space="preserve"> </w:t>
      </w:r>
      <w:r w:rsidR="00544011" w:rsidRPr="00E75B0C">
        <w:rPr>
          <w:rFonts w:ascii="Verdana" w:hAnsi="Verdana"/>
          <w:b/>
          <w:sz w:val="18"/>
          <w:szCs w:val="18"/>
        </w:rPr>
        <w:t>περιουσίας</w:t>
      </w:r>
      <w:r w:rsidR="00544011" w:rsidRPr="00E75B0C">
        <w:rPr>
          <w:rFonts w:ascii="Verdana" w:hAnsi="Verdana"/>
          <w:b/>
          <w:sz w:val="18"/>
          <w:szCs w:val="18"/>
          <w:lang w:val="en-US"/>
        </w:rPr>
        <w:t xml:space="preserve"> (</w:t>
      </w:r>
      <w:proofErr w:type="spellStart"/>
      <w:r w:rsidR="00544011" w:rsidRPr="00E75B0C">
        <w:rPr>
          <w:rFonts w:ascii="Verdana" w:eastAsia="Times New Roman" w:hAnsi="Verdana" w:cs="Arial"/>
          <w:b/>
          <w:bCs/>
          <w:iCs/>
          <w:color w:val="000000"/>
          <w:sz w:val="18"/>
          <w:szCs w:val="18"/>
          <w:lang w:val="en-US" w:eastAsia="el-GR"/>
        </w:rPr>
        <w:t>impôt</w:t>
      </w:r>
      <w:proofErr w:type="spellEnd"/>
      <w:r w:rsidR="00544011" w:rsidRPr="00E75B0C">
        <w:rPr>
          <w:rFonts w:ascii="Verdana" w:eastAsia="Times New Roman" w:hAnsi="Verdana" w:cs="Arial"/>
          <w:b/>
          <w:bCs/>
          <w:iCs/>
          <w:color w:val="000000"/>
          <w:sz w:val="18"/>
          <w:szCs w:val="18"/>
          <w:lang w:val="en-US" w:eastAsia="el-GR"/>
        </w:rPr>
        <w:t xml:space="preserve"> de </w:t>
      </w:r>
      <w:proofErr w:type="spellStart"/>
      <w:r w:rsidR="00544011" w:rsidRPr="00E75B0C">
        <w:rPr>
          <w:rFonts w:ascii="Verdana" w:eastAsia="Times New Roman" w:hAnsi="Verdana" w:cs="Arial"/>
          <w:b/>
          <w:bCs/>
          <w:iCs/>
          <w:color w:val="000000"/>
          <w:sz w:val="18"/>
          <w:szCs w:val="18"/>
          <w:lang w:val="en-US" w:eastAsia="el-GR"/>
        </w:rPr>
        <w:t>solidarité</w:t>
      </w:r>
      <w:proofErr w:type="spellEnd"/>
      <w:r w:rsidR="00544011" w:rsidRPr="00E75B0C">
        <w:rPr>
          <w:rFonts w:ascii="Verdana" w:eastAsia="Times New Roman" w:hAnsi="Verdana" w:cs="Arial"/>
          <w:b/>
          <w:bCs/>
          <w:iCs/>
          <w:color w:val="000000"/>
          <w:sz w:val="18"/>
          <w:szCs w:val="18"/>
          <w:lang w:val="en-US" w:eastAsia="el-GR"/>
        </w:rPr>
        <w:t xml:space="preserve"> </w:t>
      </w:r>
      <w:proofErr w:type="spellStart"/>
      <w:r w:rsidR="00544011" w:rsidRPr="00E75B0C">
        <w:rPr>
          <w:rFonts w:ascii="Verdana" w:eastAsia="Times New Roman" w:hAnsi="Verdana" w:cs="Arial"/>
          <w:b/>
          <w:bCs/>
          <w:iCs/>
          <w:color w:val="000000"/>
          <w:sz w:val="18"/>
          <w:szCs w:val="18"/>
          <w:lang w:val="en-US" w:eastAsia="el-GR"/>
        </w:rPr>
        <w:t>sur</w:t>
      </w:r>
      <w:proofErr w:type="spellEnd"/>
      <w:r w:rsidR="00544011" w:rsidRPr="00E75B0C">
        <w:rPr>
          <w:rFonts w:ascii="Verdana" w:eastAsia="Times New Roman" w:hAnsi="Verdana" w:cs="Arial"/>
          <w:b/>
          <w:bCs/>
          <w:iCs/>
          <w:color w:val="000000"/>
          <w:sz w:val="18"/>
          <w:szCs w:val="18"/>
          <w:lang w:val="en-US" w:eastAsia="el-GR"/>
        </w:rPr>
        <w:t xml:space="preserve"> la fortune (ISF)</w:t>
      </w:r>
      <w:r w:rsidR="00544011" w:rsidRPr="00E75B0C">
        <w:rPr>
          <w:rFonts w:ascii="Verdana" w:hAnsi="Verdana"/>
          <w:b/>
          <w:sz w:val="18"/>
          <w:szCs w:val="18"/>
          <w:lang w:val="en-US"/>
        </w:rPr>
        <w:t xml:space="preserve">, </w:t>
      </w:r>
      <w:r w:rsidR="00544011" w:rsidRPr="00E75B0C">
        <w:rPr>
          <w:rFonts w:ascii="Verdana" w:hAnsi="Verdana"/>
          <w:b/>
          <w:sz w:val="18"/>
          <w:szCs w:val="18"/>
        </w:rPr>
        <w:t>ή</w:t>
      </w:r>
      <w:r w:rsidR="00544011" w:rsidRPr="00E75B0C">
        <w:rPr>
          <w:rFonts w:ascii="Verdana" w:hAnsi="Verdana"/>
          <w:b/>
          <w:sz w:val="18"/>
          <w:szCs w:val="18"/>
          <w:lang w:val="en-US"/>
        </w:rPr>
        <w:t xml:space="preserve"> wealth tax):</w:t>
      </w:r>
    </w:p>
    <w:p w:rsidR="00544011" w:rsidRPr="00E75B0C" w:rsidRDefault="00544011" w:rsidP="00544011">
      <w:pPr>
        <w:spacing w:line="240" w:lineRule="auto"/>
        <w:rPr>
          <w:rFonts w:ascii="Verdana" w:hAnsi="Verdana"/>
          <w:sz w:val="18"/>
          <w:szCs w:val="18"/>
        </w:rPr>
      </w:pPr>
      <w:r w:rsidRPr="00E75B0C">
        <w:rPr>
          <w:rFonts w:ascii="Verdana" w:hAnsi="Verdana"/>
          <w:sz w:val="18"/>
          <w:szCs w:val="18"/>
          <w:lang w:val="en-US"/>
        </w:rPr>
        <w:t>O</w:t>
      </w:r>
      <w:r w:rsidRPr="00E75B0C">
        <w:rPr>
          <w:rFonts w:ascii="Verdana" w:hAnsi="Verdana"/>
          <w:sz w:val="18"/>
          <w:szCs w:val="18"/>
        </w:rPr>
        <w:t xml:space="preserve"> φόρος επιβάλλεται αν τα περιουσιακά στοιχεία</w:t>
      </w:r>
      <w:r w:rsidR="00182FE1" w:rsidRPr="00E75B0C">
        <w:rPr>
          <w:rFonts w:ascii="Verdana" w:hAnsi="Verdana"/>
          <w:sz w:val="18"/>
          <w:szCs w:val="18"/>
        </w:rPr>
        <w:t xml:space="preserve"> ΟΠΟΥΔΗΠΟΤΕ ΣΤΟΝ ΚΟΣΜΟ</w:t>
      </w:r>
      <w:r w:rsidRPr="00E75B0C">
        <w:rPr>
          <w:rFonts w:ascii="Verdana" w:hAnsi="Verdana"/>
          <w:sz w:val="18"/>
          <w:szCs w:val="18"/>
        </w:rPr>
        <w:t xml:space="preserve"> ενός ατόμου</w:t>
      </w:r>
      <w:r w:rsidR="00182FE1" w:rsidRPr="00E75B0C">
        <w:rPr>
          <w:rFonts w:ascii="Verdana" w:hAnsi="Verdana"/>
          <w:sz w:val="18"/>
          <w:szCs w:val="18"/>
        </w:rPr>
        <w:t>, που είναι φορολογικός κάτοικος Γαλλίας</w:t>
      </w:r>
      <w:r w:rsidRPr="00E75B0C">
        <w:rPr>
          <w:rFonts w:ascii="Verdana" w:hAnsi="Verdana"/>
          <w:sz w:val="18"/>
          <w:szCs w:val="18"/>
        </w:rPr>
        <w:t>, υπερβαίν</w:t>
      </w:r>
      <w:r w:rsidR="00D33355" w:rsidRPr="00E75B0C">
        <w:rPr>
          <w:rFonts w:ascii="Verdana" w:hAnsi="Verdana"/>
          <w:sz w:val="18"/>
          <w:szCs w:val="18"/>
        </w:rPr>
        <w:t>ουν σε αξία το €1,300,000 (ποσό</w:t>
      </w:r>
      <w:r w:rsidRPr="00E75B0C">
        <w:rPr>
          <w:rFonts w:ascii="Verdana" w:hAnsi="Verdana"/>
          <w:sz w:val="18"/>
          <w:szCs w:val="18"/>
        </w:rPr>
        <w:t xml:space="preserve"> που αναπροσαρμόζεται βάσει του πληθωρισμού). </w:t>
      </w:r>
      <w:r w:rsidR="00BB3D37" w:rsidRPr="00E75B0C">
        <w:rPr>
          <w:rFonts w:ascii="Verdana" w:hAnsi="Verdana"/>
          <w:sz w:val="18"/>
          <w:szCs w:val="18"/>
        </w:rPr>
        <w:t>Όμως</w:t>
      </w:r>
      <w:r w:rsidR="00D33355" w:rsidRPr="00E75B0C">
        <w:rPr>
          <w:rFonts w:ascii="Verdana" w:hAnsi="Verdana"/>
          <w:sz w:val="18"/>
          <w:szCs w:val="18"/>
        </w:rPr>
        <w:t xml:space="preserve"> τα άτομα</w:t>
      </w:r>
      <w:r w:rsidR="00182FE1" w:rsidRPr="00E75B0C">
        <w:rPr>
          <w:rFonts w:ascii="Verdana" w:hAnsi="Verdana"/>
          <w:sz w:val="18"/>
          <w:szCs w:val="18"/>
        </w:rPr>
        <w:t xml:space="preserve"> που γίνονται κάτοικοι Γαλλίας εξαιρούνται για 5 χρόνια απ’ το φόρο ΟΣΟΝ ΑΦΟΡΑ </w:t>
      </w:r>
      <w:r w:rsidR="00D33355" w:rsidRPr="00E75B0C">
        <w:rPr>
          <w:rFonts w:ascii="Verdana" w:hAnsi="Verdana"/>
          <w:sz w:val="18"/>
          <w:szCs w:val="18"/>
        </w:rPr>
        <w:t>Σ</w:t>
      </w:r>
      <w:r w:rsidR="00182FE1" w:rsidRPr="00E75B0C">
        <w:rPr>
          <w:rFonts w:ascii="Verdana" w:hAnsi="Verdana"/>
          <w:sz w:val="18"/>
          <w:szCs w:val="18"/>
        </w:rPr>
        <w:t xml:space="preserve">ΤΑ ΕΚΤΟΣ ΓΑΛΛΙΑΣ ΠΕΡΙΟΥΣΙΑΚΑ </w:t>
      </w:r>
      <w:r w:rsidR="00D33355" w:rsidRPr="00E75B0C">
        <w:rPr>
          <w:rFonts w:ascii="Verdana" w:hAnsi="Verdana"/>
          <w:sz w:val="18"/>
          <w:szCs w:val="18"/>
        </w:rPr>
        <w:t>ΤΟΥΣ</w:t>
      </w:r>
      <w:r w:rsidR="00182FE1" w:rsidRPr="00E75B0C">
        <w:rPr>
          <w:rFonts w:ascii="Verdana" w:hAnsi="Verdana"/>
          <w:sz w:val="18"/>
          <w:szCs w:val="18"/>
        </w:rPr>
        <w:t xml:space="preserve"> ΣΤΟΙΧΕΙΑ, δηλ. </w:t>
      </w:r>
      <w:r w:rsidR="00DC4E8B" w:rsidRPr="00E75B0C">
        <w:rPr>
          <w:rFonts w:ascii="Verdana" w:hAnsi="Verdana"/>
          <w:sz w:val="18"/>
          <w:szCs w:val="18"/>
        </w:rPr>
        <w:t xml:space="preserve">γι’ αυτά τα 5 χρόνια </w:t>
      </w:r>
      <w:r w:rsidR="00182FE1" w:rsidRPr="00E75B0C">
        <w:rPr>
          <w:rFonts w:ascii="Verdana" w:hAnsi="Verdana"/>
          <w:sz w:val="18"/>
          <w:szCs w:val="18"/>
        </w:rPr>
        <w:t xml:space="preserve">θα πληρώνουν φόρο μόνο για την εν Γαλλία περιουσία </w:t>
      </w:r>
      <w:r w:rsidR="00D33355" w:rsidRPr="00E75B0C">
        <w:rPr>
          <w:rFonts w:ascii="Verdana" w:hAnsi="Verdana"/>
          <w:sz w:val="18"/>
          <w:szCs w:val="18"/>
        </w:rPr>
        <w:t>τους</w:t>
      </w:r>
      <w:r w:rsidR="00DC4E8B" w:rsidRPr="00E75B0C">
        <w:rPr>
          <w:rFonts w:ascii="Verdana" w:hAnsi="Verdana"/>
          <w:sz w:val="18"/>
          <w:szCs w:val="18"/>
        </w:rPr>
        <w:t xml:space="preserve"> (αν αυτή εμπίπτει στο ανωτέρω όριο). Επίσης, αυτοί που έχουν περιουσία στη Γαλλία φορολογητέα βάσει του φόρου αυτού, αλλά δεν είναι κάτοικοι Γαλλίας, απαλλάσσονται απ’ το φόρο για την εκτός Γαλλίας περιουσία </w:t>
      </w:r>
      <w:r w:rsidR="00D33355" w:rsidRPr="00E75B0C">
        <w:rPr>
          <w:rFonts w:ascii="Verdana" w:hAnsi="Verdana"/>
          <w:sz w:val="18"/>
          <w:szCs w:val="18"/>
        </w:rPr>
        <w:t>τους</w:t>
      </w:r>
      <w:r w:rsidR="00DC4E8B" w:rsidRPr="00E75B0C">
        <w:rPr>
          <w:rFonts w:ascii="Verdana" w:hAnsi="Verdana"/>
          <w:sz w:val="18"/>
          <w:szCs w:val="18"/>
        </w:rPr>
        <w:t xml:space="preserve">. </w:t>
      </w:r>
    </w:p>
    <w:p w:rsidR="00DC4E8B" w:rsidRPr="00E75B0C" w:rsidRDefault="00DC4E8B" w:rsidP="00544011">
      <w:pPr>
        <w:spacing w:line="240" w:lineRule="auto"/>
        <w:rPr>
          <w:rFonts w:ascii="Verdana" w:hAnsi="Verdana"/>
          <w:sz w:val="18"/>
          <w:szCs w:val="18"/>
        </w:rPr>
      </w:pPr>
      <w:r w:rsidRPr="00E75B0C">
        <w:rPr>
          <w:rFonts w:ascii="Verdana" w:hAnsi="Verdana"/>
          <w:sz w:val="18"/>
          <w:szCs w:val="18"/>
        </w:rPr>
        <w:t xml:space="preserve">Επίσης, οι κάτοικοι Γαλλίας έχουν </w:t>
      </w:r>
      <w:r w:rsidR="00BB3D37" w:rsidRPr="00E75B0C">
        <w:rPr>
          <w:rFonts w:ascii="Verdana" w:hAnsi="Verdana"/>
          <w:sz w:val="18"/>
          <w:szCs w:val="18"/>
        </w:rPr>
        <w:t>έκπτωση</w:t>
      </w:r>
      <w:r w:rsidRPr="00E75B0C">
        <w:rPr>
          <w:rFonts w:ascii="Verdana" w:hAnsi="Verdana"/>
          <w:sz w:val="18"/>
          <w:szCs w:val="18"/>
        </w:rPr>
        <w:t xml:space="preserve"> 30% απ’ τη</w:t>
      </w:r>
      <w:r w:rsidR="00D33355" w:rsidRPr="00E75B0C">
        <w:rPr>
          <w:rFonts w:ascii="Verdana" w:hAnsi="Verdana"/>
          <w:sz w:val="18"/>
          <w:szCs w:val="18"/>
        </w:rPr>
        <w:t>ν</w:t>
      </w:r>
      <w:r w:rsidRPr="00E75B0C">
        <w:rPr>
          <w:rFonts w:ascii="Verdana" w:hAnsi="Verdana"/>
          <w:sz w:val="18"/>
          <w:szCs w:val="18"/>
        </w:rPr>
        <w:t xml:space="preserve"> αξία της </w:t>
      </w:r>
      <w:r w:rsidR="00D33355" w:rsidRPr="00E75B0C">
        <w:rPr>
          <w:rFonts w:ascii="Verdana" w:hAnsi="Verdana"/>
          <w:sz w:val="18"/>
          <w:szCs w:val="18"/>
        </w:rPr>
        <w:t>κύριας</w:t>
      </w:r>
      <w:r w:rsidRPr="00E75B0C">
        <w:rPr>
          <w:rFonts w:ascii="Verdana" w:hAnsi="Verdana"/>
          <w:sz w:val="18"/>
          <w:szCs w:val="18"/>
        </w:rPr>
        <w:t xml:space="preserve"> κατοικίας </w:t>
      </w:r>
      <w:r w:rsidR="00D33355" w:rsidRPr="00E75B0C">
        <w:rPr>
          <w:rFonts w:ascii="Verdana" w:hAnsi="Verdana"/>
          <w:sz w:val="18"/>
          <w:szCs w:val="18"/>
        </w:rPr>
        <w:t>τους</w:t>
      </w:r>
      <w:r w:rsidRPr="00E75B0C">
        <w:rPr>
          <w:rFonts w:ascii="Verdana" w:hAnsi="Verdana"/>
          <w:sz w:val="18"/>
          <w:szCs w:val="18"/>
        </w:rPr>
        <w:t xml:space="preserve">. </w:t>
      </w:r>
    </w:p>
    <w:p w:rsidR="00DC4E8B" w:rsidRPr="00E75B0C" w:rsidRDefault="00DC4E8B" w:rsidP="00544011">
      <w:pPr>
        <w:spacing w:line="240" w:lineRule="auto"/>
        <w:rPr>
          <w:rFonts w:ascii="Verdana" w:hAnsi="Verdana"/>
          <w:sz w:val="18"/>
          <w:szCs w:val="18"/>
        </w:rPr>
      </w:pPr>
      <w:r w:rsidRPr="00E75B0C">
        <w:rPr>
          <w:rFonts w:ascii="Verdana" w:hAnsi="Verdana"/>
          <w:sz w:val="18"/>
          <w:szCs w:val="18"/>
        </w:rPr>
        <w:t xml:space="preserve">Την αξία της περιουσίας του υπολογίζει έκαστο </w:t>
      </w:r>
      <w:r w:rsidR="00BB3D37" w:rsidRPr="00E75B0C">
        <w:rPr>
          <w:rFonts w:ascii="Verdana" w:hAnsi="Verdana"/>
          <w:sz w:val="18"/>
          <w:szCs w:val="18"/>
        </w:rPr>
        <w:t>νοικοκυριό</w:t>
      </w:r>
      <w:r w:rsidRPr="00E75B0C">
        <w:rPr>
          <w:rFonts w:ascii="Verdana" w:hAnsi="Verdana"/>
          <w:sz w:val="18"/>
          <w:szCs w:val="18"/>
        </w:rPr>
        <w:t xml:space="preserve">. Δεν απαιτείται εκτίμηση από επαγγελματίες ή ορκωτούς εκτιμητές. Απ’ την άλλη, η γαλλική Εφορία αξιοποιεί δυνατότητες, που τυχόν έχει, για να υπολογίσει την αξία της περιουσίας ενός, </w:t>
      </w:r>
      <w:r w:rsidR="00D33355" w:rsidRPr="00E75B0C">
        <w:rPr>
          <w:rFonts w:ascii="Verdana" w:hAnsi="Verdana"/>
          <w:sz w:val="18"/>
          <w:szCs w:val="18"/>
        </w:rPr>
        <w:t>διατηρώντας</w:t>
      </w:r>
      <w:r w:rsidRPr="00E75B0C">
        <w:rPr>
          <w:rFonts w:ascii="Verdana" w:hAnsi="Verdana"/>
          <w:sz w:val="18"/>
          <w:szCs w:val="18"/>
        </w:rPr>
        <w:t xml:space="preserve"> το δικαίωμα να αναζητήσει φόρους για τα προηγούμενα 10 έτη. </w:t>
      </w:r>
    </w:p>
    <w:p w:rsidR="00DC4E8B" w:rsidRPr="00E75B0C" w:rsidRDefault="00DC4E8B" w:rsidP="00544011">
      <w:pPr>
        <w:spacing w:line="240" w:lineRule="auto"/>
        <w:rPr>
          <w:rFonts w:ascii="Verdana" w:hAnsi="Verdana"/>
          <w:sz w:val="18"/>
          <w:szCs w:val="18"/>
        </w:rPr>
      </w:pPr>
      <w:r w:rsidRPr="00E75B0C">
        <w:rPr>
          <w:rFonts w:ascii="Verdana" w:hAnsi="Verdana"/>
          <w:sz w:val="18"/>
          <w:szCs w:val="18"/>
        </w:rPr>
        <w:t>Ο όρος «περιουσία» περιλαμβάνει ακίνητα, μετρητά, αυτοκίνητα, κοσμήματα, έπιπλα, μετοχές, ακριβά κρασιά κ.α.</w:t>
      </w:r>
      <w:r w:rsidR="00826B78" w:rsidRPr="00E75B0C">
        <w:rPr>
          <w:rFonts w:ascii="Verdana" w:hAnsi="Verdana"/>
          <w:sz w:val="18"/>
          <w:szCs w:val="18"/>
        </w:rPr>
        <w:t xml:space="preserve"> (Πάντως επιτρέπεται η αξιολόγηση της οικοσκευής στο 5% της αξίας όλων των άλλων περιουσιακών στοιχείων.)</w:t>
      </w:r>
      <w:r w:rsidRPr="00E75B0C">
        <w:rPr>
          <w:rFonts w:ascii="Verdana" w:hAnsi="Verdana"/>
          <w:sz w:val="18"/>
          <w:szCs w:val="18"/>
        </w:rPr>
        <w:t xml:space="preserve"> </w:t>
      </w:r>
      <w:r w:rsidR="00826B78" w:rsidRPr="00E75B0C">
        <w:rPr>
          <w:rFonts w:ascii="Verdana" w:hAnsi="Verdana"/>
          <w:sz w:val="18"/>
          <w:szCs w:val="18"/>
        </w:rPr>
        <w:t>Ο όρος περιλ</w:t>
      </w:r>
      <w:r w:rsidR="00BB3D37" w:rsidRPr="00E75B0C">
        <w:rPr>
          <w:rFonts w:ascii="Verdana" w:hAnsi="Verdana"/>
          <w:sz w:val="18"/>
          <w:szCs w:val="18"/>
        </w:rPr>
        <w:t xml:space="preserve">αμβάνει ακόμη και τα ποσά, που </w:t>
      </w:r>
      <w:r w:rsidR="00826B78" w:rsidRPr="00E75B0C">
        <w:rPr>
          <w:rFonts w:ascii="Verdana" w:hAnsi="Verdana"/>
          <w:sz w:val="18"/>
          <w:szCs w:val="18"/>
        </w:rPr>
        <w:t xml:space="preserve">μπορούν να εξαγορασθούν στο πλαίσιο </w:t>
      </w:r>
      <w:r w:rsidR="00BB3D37" w:rsidRPr="00E75B0C">
        <w:rPr>
          <w:rFonts w:ascii="Verdana" w:hAnsi="Verdana"/>
          <w:sz w:val="18"/>
          <w:szCs w:val="18"/>
        </w:rPr>
        <w:t>μιας</w:t>
      </w:r>
      <w:r w:rsidR="00826B78" w:rsidRPr="00E75B0C">
        <w:rPr>
          <w:rFonts w:ascii="Verdana" w:hAnsi="Verdana"/>
          <w:sz w:val="18"/>
          <w:szCs w:val="18"/>
        </w:rPr>
        <w:t xml:space="preserve"> </w:t>
      </w:r>
      <w:r w:rsidR="00D33355" w:rsidRPr="00E75B0C">
        <w:rPr>
          <w:rFonts w:ascii="Verdana" w:hAnsi="Verdana"/>
          <w:sz w:val="18"/>
          <w:szCs w:val="18"/>
        </w:rPr>
        <w:t>τρέχουσας</w:t>
      </w:r>
      <w:r w:rsidR="00826B78" w:rsidRPr="00E75B0C">
        <w:rPr>
          <w:rFonts w:ascii="Verdana" w:hAnsi="Verdana"/>
          <w:sz w:val="18"/>
          <w:szCs w:val="18"/>
        </w:rPr>
        <w:t xml:space="preserve"> </w:t>
      </w:r>
      <w:r w:rsidR="00D33355" w:rsidRPr="00E75B0C">
        <w:rPr>
          <w:rFonts w:ascii="Verdana" w:hAnsi="Verdana"/>
          <w:sz w:val="18"/>
          <w:szCs w:val="18"/>
        </w:rPr>
        <w:t>ασφάλειας</w:t>
      </w:r>
      <w:r w:rsidR="00826B78" w:rsidRPr="00E75B0C">
        <w:rPr>
          <w:rFonts w:ascii="Verdana" w:hAnsi="Verdana"/>
          <w:sz w:val="18"/>
          <w:szCs w:val="18"/>
        </w:rPr>
        <w:t xml:space="preserve"> ζωής!</w:t>
      </w:r>
    </w:p>
    <w:p w:rsidR="00826B78" w:rsidRPr="00E75B0C" w:rsidRDefault="00826B78" w:rsidP="00544011">
      <w:pPr>
        <w:spacing w:line="240" w:lineRule="auto"/>
        <w:rPr>
          <w:rFonts w:ascii="Verdana" w:hAnsi="Verdana"/>
          <w:sz w:val="18"/>
          <w:szCs w:val="18"/>
        </w:rPr>
      </w:pPr>
      <w:r w:rsidRPr="00E75B0C">
        <w:rPr>
          <w:rFonts w:ascii="Verdana" w:hAnsi="Verdana"/>
          <w:sz w:val="18"/>
          <w:szCs w:val="18"/>
        </w:rPr>
        <w:t xml:space="preserve">Εξαιρούνται αντίκες άνω των 100 ετών, συλλογές έργων τέχνης, κλασσικά αυτοκίνητα, η αξία καλλιτεχνικών, βιομηχανικών και λογοτεχνικών δικαιωμάτων, ενώ αφαιρείται η αξία </w:t>
      </w:r>
      <w:r w:rsidR="00BB3D37" w:rsidRPr="00E75B0C">
        <w:rPr>
          <w:rFonts w:ascii="Verdana" w:hAnsi="Verdana"/>
          <w:sz w:val="18"/>
          <w:szCs w:val="18"/>
        </w:rPr>
        <w:t>ενυπόθηκου</w:t>
      </w:r>
      <w:r w:rsidRPr="00E75B0C">
        <w:rPr>
          <w:rFonts w:ascii="Verdana" w:hAnsi="Verdana"/>
          <w:sz w:val="18"/>
          <w:szCs w:val="18"/>
        </w:rPr>
        <w:t xml:space="preserve"> δανείου απ’ την αξία του ακινήτου. Επίσης, οι μη κάτοικοι, που υπόκεινται στο φόρο περιουσίας, φορολογούνται μόνο για την αξία των ακινήτων, που κατέχουν στη Γαλλία. </w:t>
      </w:r>
    </w:p>
    <w:p w:rsidR="00826B78" w:rsidRPr="00E75B0C" w:rsidRDefault="00826B78" w:rsidP="00544011">
      <w:pPr>
        <w:spacing w:line="240" w:lineRule="auto"/>
        <w:rPr>
          <w:rFonts w:ascii="Verdana" w:hAnsi="Verdana"/>
          <w:sz w:val="18"/>
          <w:szCs w:val="18"/>
        </w:rPr>
      </w:pPr>
      <w:r w:rsidRPr="00E75B0C">
        <w:rPr>
          <w:rFonts w:ascii="Verdana" w:hAnsi="Verdana"/>
          <w:sz w:val="18"/>
          <w:szCs w:val="18"/>
        </w:rPr>
        <w:t>Τα ποσοστά του φόρου είναι:</w:t>
      </w:r>
    </w:p>
    <w:p w:rsidR="00826B78" w:rsidRPr="00E75B0C" w:rsidRDefault="00826B78" w:rsidP="00544011">
      <w:pPr>
        <w:spacing w:line="240" w:lineRule="auto"/>
        <w:rPr>
          <w:rFonts w:ascii="Verdana" w:hAnsi="Verdana"/>
          <w:sz w:val="18"/>
          <w:szCs w:val="18"/>
          <w:lang w:val="en-US"/>
        </w:rPr>
      </w:pPr>
      <w:r w:rsidRPr="00E75B0C">
        <w:rPr>
          <w:rFonts w:ascii="Verdana" w:hAnsi="Verdana"/>
          <w:sz w:val="18"/>
          <w:szCs w:val="18"/>
          <w:lang w:val="en-US"/>
        </w:rPr>
        <w:t>0 – 800,000</w:t>
      </w:r>
      <w:r w:rsidRPr="00E75B0C">
        <w:rPr>
          <w:rFonts w:ascii="Verdana" w:hAnsi="Verdana"/>
          <w:sz w:val="18"/>
          <w:szCs w:val="18"/>
          <w:lang w:val="en-US"/>
        </w:rPr>
        <w:tab/>
      </w:r>
      <w:r w:rsidRPr="00E75B0C">
        <w:rPr>
          <w:rFonts w:ascii="Verdana" w:hAnsi="Verdana"/>
          <w:sz w:val="18"/>
          <w:szCs w:val="18"/>
          <w:lang w:val="en-US"/>
        </w:rPr>
        <w:tab/>
      </w:r>
      <w:r w:rsidRPr="00E75B0C">
        <w:rPr>
          <w:rFonts w:ascii="Verdana" w:hAnsi="Verdana"/>
          <w:sz w:val="18"/>
          <w:szCs w:val="18"/>
          <w:lang w:val="en-US"/>
        </w:rPr>
        <w:tab/>
        <w:t>0.00%</w:t>
      </w:r>
    </w:p>
    <w:p w:rsidR="00826B78" w:rsidRPr="00E75B0C" w:rsidRDefault="00826B78" w:rsidP="00544011">
      <w:pPr>
        <w:spacing w:line="240" w:lineRule="auto"/>
        <w:rPr>
          <w:rFonts w:ascii="Verdana" w:hAnsi="Verdana"/>
          <w:sz w:val="18"/>
          <w:szCs w:val="18"/>
          <w:lang w:val="en-US"/>
        </w:rPr>
      </w:pPr>
      <w:proofErr w:type="gramStart"/>
      <w:r w:rsidRPr="00E75B0C">
        <w:rPr>
          <w:rFonts w:ascii="Verdana" w:hAnsi="Verdana"/>
          <w:sz w:val="18"/>
          <w:szCs w:val="18"/>
          <w:lang w:val="en-US"/>
        </w:rPr>
        <w:t>800,000-1,300,000</w:t>
      </w:r>
      <w:r w:rsidRPr="00E75B0C">
        <w:rPr>
          <w:rFonts w:ascii="Verdana" w:hAnsi="Verdana"/>
          <w:sz w:val="18"/>
          <w:szCs w:val="18"/>
          <w:lang w:val="en-US"/>
        </w:rPr>
        <w:tab/>
      </w:r>
      <w:r w:rsidRPr="00E75B0C">
        <w:rPr>
          <w:rFonts w:ascii="Verdana" w:hAnsi="Verdana"/>
          <w:sz w:val="18"/>
          <w:szCs w:val="18"/>
          <w:lang w:val="en-US"/>
        </w:rPr>
        <w:tab/>
        <w:t>0.50%</w:t>
      </w:r>
      <w:proofErr w:type="gramEnd"/>
    </w:p>
    <w:p w:rsidR="00826B78" w:rsidRPr="00E75B0C" w:rsidRDefault="00826B78" w:rsidP="00544011">
      <w:pPr>
        <w:spacing w:line="240" w:lineRule="auto"/>
        <w:rPr>
          <w:rFonts w:ascii="Verdana" w:hAnsi="Verdana"/>
          <w:sz w:val="18"/>
          <w:szCs w:val="18"/>
          <w:lang w:val="en-US"/>
        </w:rPr>
      </w:pPr>
      <w:r w:rsidRPr="00E75B0C">
        <w:rPr>
          <w:rFonts w:ascii="Verdana" w:hAnsi="Verdana"/>
          <w:sz w:val="18"/>
          <w:szCs w:val="18"/>
          <w:lang w:val="en-US"/>
        </w:rPr>
        <w:t>1,300,000 – 2,570,000</w:t>
      </w:r>
      <w:r w:rsidRPr="00E75B0C">
        <w:rPr>
          <w:rFonts w:ascii="Verdana" w:hAnsi="Verdana"/>
          <w:sz w:val="18"/>
          <w:szCs w:val="18"/>
          <w:lang w:val="en-US"/>
        </w:rPr>
        <w:tab/>
      </w:r>
      <w:r w:rsidRPr="00E75B0C">
        <w:rPr>
          <w:rFonts w:ascii="Verdana" w:hAnsi="Verdana"/>
          <w:sz w:val="18"/>
          <w:szCs w:val="18"/>
          <w:lang w:val="en-US"/>
        </w:rPr>
        <w:tab/>
        <w:t>0.70%</w:t>
      </w:r>
    </w:p>
    <w:p w:rsidR="00826B78" w:rsidRPr="00E75B0C" w:rsidRDefault="00826B78" w:rsidP="00544011">
      <w:pPr>
        <w:spacing w:line="240" w:lineRule="auto"/>
        <w:rPr>
          <w:rFonts w:ascii="Verdana" w:hAnsi="Verdana"/>
          <w:sz w:val="18"/>
          <w:szCs w:val="18"/>
          <w:lang w:val="en-US"/>
        </w:rPr>
      </w:pPr>
      <w:proofErr w:type="gramStart"/>
      <w:r w:rsidRPr="00E75B0C">
        <w:rPr>
          <w:rFonts w:ascii="Verdana" w:hAnsi="Verdana"/>
          <w:sz w:val="18"/>
          <w:szCs w:val="18"/>
          <w:lang w:val="en-US"/>
        </w:rPr>
        <w:t>2,570,000-5,000,000</w:t>
      </w:r>
      <w:r w:rsidRPr="00E75B0C">
        <w:rPr>
          <w:rFonts w:ascii="Verdana" w:hAnsi="Verdana"/>
          <w:sz w:val="18"/>
          <w:szCs w:val="18"/>
          <w:lang w:val="en-US"/>
        </w:rPr>
        <w:tab/>
      </w:r>
      <w:r w:rsidRPr="00E75B0C">
        <w:rPr>
          <w:rFonts w:ascii="Verdana" w:hAnsi="Verdana"/>
          <w:sz w:val="18"/>
          <w:szCs w:val="18"/>
          <w:lang w:val="en-US"/>
        </w:rPr>
        <w:tab/>
        <w:t>1.00%</w:t>
      </w:r>
      <w:proofErr w:type="gramEnd"/>
    </w:p>
    <w:p w:rsidR="00826B78" w:rsidRPr="00E75B0C" w:rsidRDefault="00826B78" w:rsidP="00544011">
      <w:pPr>
        <w:spacing w:line="240" w:lineRule="auto"/>
        <w:rPr>
          <w:rFonts w:ascii="Verdana" w:hAnsi="Verdana"/>
          <w:sz w:val="18"/>
          <w:szCs w:val="18"/>
          <w:lang w:val="en-US"/>
        </w:rPr>
      </w:pPr>
      <w:r w:rsidRPr="00E75B0C">
        <w:rPr>
          <w:rFonts w:ascii="Verdana" w:hAnsi="Verdana"/>
          <w:sz w:val="18"/>
          <w:szCs w:val="18"/>
          <w:lang w:val="en-US"/>
        </w:rPr>
        <w:t>5,000,000 – 10,000,000</w:t>
      </w:r>
      <w:r w:rsidRPr="00E75B0C">
        <w:rPr>
          <w:rFonts w:ascii="Verdana" w:hAnsi="Verdana"/>
          <w:sz w:val="18"/>
          <w:szCs w:val="18"/>
          <w:lang w:val="en-US"/>
        </w:rPr>
        <w:tab/>
      </w:r>
      <w:r w:rsidRPr="00E75B0C">
        <w:rPr>
          <w:rFonts w:ascii="Verdana" w:hAnsi="Verdana"/>
          <w:sz w:val="18"/>
          <w:szCs w:val="18"/>
          <w:lang w:val="en-US"/>
        </w:rPr>
        <w:tab/>
        <w:t>1.25%</w:t>
      </w:r>
    </w:p>
    <w:p w:rsidR="00826B78" w:rsidRPr="00E75B0C" w:rsidRDefault="00826B78" w:rsidP="00544011">
      <w:pPr>
        <w:spacing w:line="240" w:lineRule="auto"/>
        <w:rPr>
          <w:rFonts w:ascii="Verdana" w:hAnsi="Verdana"/>
          <w:sz w:val="18"/>
          <w:szCs w:val="18"/>
          <w:lang w:val="en-US"/>
        </w:rPr>
      </w:pPr>
      <w:r w:rsidRPr="00E75B0C">
        <w:rPr>
          <w:rFonts w:ascii="Verdana" w:hAnsi="Verdana"/>
          <w:sz w:val="18"/>
          <w:szCs w:val="18"/>
          <w:lang w:val="en-US"/>
        </w:rPr>
        <w:t>10,000,000+</w:t>
      </w:r>
      <w:r w:rsidRPr="00E75B0C">
        <w:rPr>
          <w:rFonts w:ascii="Verdana" w:hAnsi="Verdana"/>
          <w:sz w:val="18"/>
          <w:szCs w:val="18"/>
          <w:lang w:val="en-US"/>
        </w:rPr>
        <w:tab/>
      </w:r>
      <w:r w:rsidRPr="00E75B0C">
        <w:rPr>
          <w:rFonts w:ascii="Verdana" w:hAnsi="Verdana"/>
          <w:sz w:val="18"/>
          <w:szCs w:val="18"/>
          <w:lang w:val="en-US"/>
        </w:rPr>
        <w:tab/>
      </w:r>
      <w:r w:rsidRPr="00E75B0C">
        <w:rPr>
          <w:rFonts w:ascii="Verdana" w:hAnsi="Verdana"/>
          <w:sz w:val="18"/>
          <w:szCs w:val="18"/>
          <w:lang w:val="en-US"/>
        </w:rPr>
        <w:tab/>
        <w:t>1.50%</w:t>
      </w:r>
    </w:p>
    <w:p w:rsidR="00826B78" w:rsidRPr="00E75B0C" w:rsidRDefault="00826B78" w:rsidP="00544011">
      <w:pPr>
        <w:spacing w:line="240" w:lineRule="auto"/>
        <w:rPr>
          <w:rFonts w:ascii="Verdana" w:hAnsi="Verdana"/>
          <w:sz w:val="18"/>
          <w:szCs w:val="18"/>
          <w:lang w:val="en-US"/>
        </w:rPr>
      </w:pPr>
    </w:p>
    <w:p w:rsidR="00826B78" w:rsidRPr="00E75B0C" w:rsidRDefault="00811EC5" w:rsidP="00544011">
      <w:pPr>
        <w:spacing w:line="240" w:lineRule="auto"/>
        <w:rPr>
          <w:rFonts w:ascii="Verdana" w:hAnsi="Verdana"/>
          <w:b/>
          <w:sz w:val="18"/>
          <w:szCs w:val="18"/>
          <w:lang w:val="en-US"/>
        </w:rPr>
      </w:pPr>
      <w:r w:rsidRPr="00E75B0C">
        <w:rPr>
          <w:rFonts w:ascii="Verdana" w:hAnsi="Verdana"/>
          <w:b/>
          <w:sz w:val="18"/>
          <w:szCs w:val="18"/>
          <w:lang w:val="en-US"/>
        </w:rPr>
        <w:t>(</w:t>
      </w:r>
      <w:r w:rsidRPr="00E75B0C">
        <w:rPr>
          <w:rFonts w:ascii="Verdana" w:hAnsi="Verdana"/>
          <w:b/>
          <w:sz w:val="18"/>
          <w:szCs w:val="18"/>
        </w:rPr>
        <w:t>Δ</w:t>
      </w:r>
      <w:r w:rsidRPr="00E75B0C">
        <w:rPr>
          <w:rFonts w:ascii="Verdana" w:hAnsi="Verdana"/>
          <w:b/>
          <w:sz w:val="18"/>
          <w:szCs w:val="18"/>
          <w:lang w:val="en-US"/>
        </w:rPr>
        <w:t xml:space="preserve">) </w:t>
      </w:r>
      <w:r w:rsidR="00826B78" w:rsidRPr="00E75B0C">
        <w:rPr>
          <w:rFonts w:ascii="Verdana" w:hAnsi="Verdana"/>
          <w:b/>
          <w:sz w:val="18"/>
          <w:szCs w:val="18"/>
        </w:rPr>
        <w:t>Φόρος</w:t>
      </w:r>
      <w:r w:rsidR="00826B78" w:rsidRPr="00E75B0C">
        <w:rPr>
          <w:rFonts w:ascii="Verdana" w:hAnsi="Verdana"/>
          <w:b/>
          <w:sz w:val="18"/>
          <w:szCs w:val="18"/>
          <w:lang w:val="en-US"/>
        </w:rPr>
        <w:t xml:space="preserve"> </w:t>
      </w:r>
      <w:r w:rsidR="00826B78" w:rsidRPr="00E75B0C">
        <w:rPr>
          <w:rFonts w:ascii="Verdana" w:hAnsi="Verdana"/>
          <w:b/>
          <w:sz w:val="18"/>
          <w:szCs w:val="18"/>
        </w:rPr>
        <w:t>υπεραξίας</w:t>
      </w:r>
      <w:r w:rsidR="008D2E03" w:rsidRPr="00E75B0C">
        <w:rPr>
          <w:rFonts w:ascii="Verdana" w:hAnsi="Verdana"/>
          <w:b/>
          <w:sz w:val="18"/>
          <w:szCs w:val="18"/>
          <w:lang w:val="en-US"/>
        </w:rPr>
        <w:t xml:space="preserve"> (</w:t>
      </w:r>
      <w:proofErr w:type="spellStart"/>
      <w:r w:rsidR="008B12E7" w:rsidRPr="00E75B0C">
        <w:rPr>
          <w:rFonts w:ascii="Verdana" w:hAnsi="Verdana" w:cs="Arial"/>
          <w:b/>
          <w:iCs/>
          <w:color w:val="000000"/>
          <w:sz w:val="18"/>
          <w:szCs w:val="18"/>
          <w:lang w:val="en-US"/>
        </w:rPr>
        <w:t>impôt</w:t>
      </w:r>
      <w:proofErr w:type="spellEnd"/>
      <w:r w:rsidR="008B12E7" w:rsidRPr="00E75B0C">
        <w:rPr>
          <w:rFonts w:ascii="Verdana" w:hAnsi="Verdana" w:cs="Arial"/>
          <w:b/>
          <w:iCs/>
          <w:color w:val="000000"/>
          <w:sz w:val="18"/>
          <w:szCs w:val="18"/>
          <w:lang w:val="en-US"/>
        </w:rPr>
        <w:t xml:space="preserve"> </w:t>
      </w:r>
      <w:proofErr w:type="spellStart"/>
      <w:r w:rsidR="008B12E7" w:rsidRPr="00E75B0C">
        <w:rPr>
          <w:rFonts w:ascii="Verdana" w:hAnsi="Verdana" w:cs="Arial"/>
          <w:b/>
          <w:iCs/>
          <w:color w:val="000000"/>
          <w:sz w:val="18"/>
          <w:szCs w:val="18"/>
          <w:lang w:val="en-US"/>
        </w:rPr>
        <w:t>sur</w:t>
      </w:r>
      <w:proofErr w:type="spellEnd"/>
      <w:r w:rsidR="008B12E7" w:rsidRPr="00E75B0C">
        <w:rPr>
          <w:rFonts w:ascii="Verdana" w:hAnsi="Verdana" w:cs="Arial"/>
          <w:b/>
          <w:iCs/>
          <w:color w:val="000000"/>
          <w:sz w:val="18"/>
          <w:szCs w:val="18"/>
          <w:lang w:val="en-US"/>
        </w:rPr>
        <w:t xml:space="preserve"> les plus-</w:t>
      </w:r>
      <w:r w:rsidR="008D2E03" w:rsidRPr="00E75B0C">
        <w:rPr>
          <w:rFonts w:ascii="Verdana" w:hAnsi="Verdana" w:cs="Arial"/>
          <w:b/>
          <w:iCs/>
          <w:color w:val="000000"/>
          <w:sz w:val="18"/>
          <w:szCs w:val="18"/>
          <w:lang w:val="en-US"/>
        </w:rPr>
        <w:t>values</w:t>
      </w:r>
      <w:r w:rsidR="002C5DBE" w:rsidRPr="00E75B0C">
        <w:rPr>
          <w:rFonts w:ascii="Verdana" w:hAnsi="Verdana" w:cs="Arial"/>
          <w:b/>
          <w:iCs/>
          <w:color w:val="000000"/>
          <w:sz w:val="18"/>
          <w:szCs w:val="18"/>
          <w:lang w:val="en-US"/>
        </w:rPr>
        <w:t xml:space="preserve"> </w:t>
      </w:r>
      <w:proofErr w:type="spellStart"/>
      <w:r w:rsidR="002C5DBE" w:rsidRPr="00E75B0C">
        <w:rPr>
          <w:rFonts w:ascii="Verdana" w:hAnsi="Verdana" w:cs="Arial"/>
          <w:b/>
          <w:iCs/>
          <w:color w:val="000000"/>
          <w:sz w:val="18"/>
          <w:szCs w:val="18"/>
          <w:lang w:val="en-US"/>
        </w:rPr>
        <w:t>immobilieres</w:t>
      </w:r>
      <w:proofErr w:type="spellEnd"/>
      <w:r w:rsidR="008D2E03" w:rsidRPr="00E75B0C">
        <w:rPr>
          <w:rFonts w:ascii="Verdana" w:hAnsi="Verdana" w:cs="Arial"/>
          <w:b/>
          <w:i/>
          <w:iCs/>
          <w:color w:val="000000"/>
          <w:sz w:val="18"/>
          <w:szCs w:val="18"/>
          <w:lang w:val="en-US"/>
        </w:rPr>
        <w:t xml:space="preserve">, </w:t>
      </w:r>
      <w:r w:rsidR="008D2E03" w:rsidRPr="00E75B0C">
        <w:rPr>
          <w:rFonts w:ascii="Verdana" w:hAnsi="Verdana" w:cs="Arial"/>
          <w:b/>
          <w:i/>
          <w:iCs/>
          <w:color w:val="000000"/>
          <w:sz w:val="18"/>
          <w:szCs w:val="18"/>
        </w:rPr>
        <w:t>ή</w:t>
      </w:r>
      <w:r w:rsidR="008D2E03" w:rsidRPr="00E75B0C">
        <w:rPr>
          <w:rFonts w:ascii="Verdana" w:hAnsi="Verdana" w:cs="Arial"/>
          <w:b/>
          <w:i/>
          <w:iCs/>
          <w:color w:val="000000"/>
          <w:sz w:val="18"/>
          <w:szCs w:val="18"/>
          <w:lang w:val="en-US"/>
        </w:rPr>
        <w:t xml:space="preserve"> capital gains tax</w:t>
      </w:r>
      <w:r w:rsidR="002C5DBE" w:rsidRPr="00E75B0C">
        <w:rPr>
          <w:rFonts w:ascii="Verdana" w:hAnsi="Verdana" w:cs="Arial"/>
          <w:b/>
          <w:i/>
          <w:iCs/>
          <w:color w:val="000000"/>
          <w:sz w:val="18"/>
          <w:szCs w:val="18"/>
          <w:lang w:val="en-US"/>
        </w:rPr>
        <w:t xml:space="preserve"> on immovable property</w:t>
      </w:r>
      <w:r w:rsidR="008D2E03" w:rsidRPr="00E75B0C">
        <w:rPr>
          <w:rFonts w:ascii="Verdana" w:hAnsi="Verdana" w:cs="Arial"/>
          <w:b/>
          <w:i/>
          <w:iCs/>
          <w:color w:val="000000"/>
          <w:sz w:val="18"/>
          <w:szCs w:val="18"/>
          <w:lang w:val="en-US"/>
        </w:rPr>
        <w:t>):</w:t>
      </w:r>
    </w:p>
    <w:p w:rsidR="00826B78" w:rsidRPr="00E75B0C" w:rsidRDefault="00BB3D37" w:rsidP="00544011">
      <w:pPr>
        <w:spacing w:line="240" w:lineRule="auto"/>
        <w:rPr>
          <w:rFonts w:ascii="Verdana" w:hAnsi="Verdana"/>
          <w:sz w:val="18"/>
          <w:szCs w:val="18"/>
        </w:rPr>
      </w:pPr>
      <w:r w:rsidRPr="00E75B0C">
        <w:rPr>
          <w:rFonts w:ascii="Verdana" w:hAnsi="Verdana"/>
          <w:sz w:val="18"/>
          <w:szCs w:val="18"/>
        </w:rPr>
        <w:t xml:space="preserve">Ο φόρος </w:t>
      </w:r>
      <w:r w:rsidR="006423CC" w:rsidRPr="00E75B0C">
        <w:rPr>
          <w:rFonts w:ascii="Verdana" w:hAnsi="Verdana"/>
          <w:sz w:val="18"/>
          <w:szCs w:val="18"/>
        </w:rPr>
        <w:t xml:space="preserve">μπορεί να πιάσει και την υπεραξία, που προκύπτει απ’ την </w:t>
      </w:r>
      <w:r w:rsidRPr="00E75B0C">
        <w:rPr>
          <w:rFonts w:ascii="Verdana" w:hAnsi="Verdana"/>
          <w:sz w:val="18"/>
          <w:szCs w:val="18"/>
        </w:rPr>
        <w:t>πώληση</w:t>
      </w:r>
      <w:r w:rsidR="006423CC" w:rsidRPr="00E75B0C">
        <w:rPr>
          <w:rFonts w:ascii="Verdana" w:hAnsi="Verdana"/>
          <w:sz w:val="18"/>
          <w:szCs w:val="18"/>
        </w:rPr>
        <w:t xml:space="preserve"> ακινήτων σε άλλες χώρες, αν ο πωλητής έχει τη</w:t>
      </w:r>
      <w:r w:rsidR="005E32C6">
        <w:rPr>
          <w:rFonts w:ascii="Verdana" w:hAnsi="Verdana"/>
          <w:sz w:val="18"/>
          <w:szCs w:val="18"/>
        </w:rPr>
        <w:t xml:space="preserve"> </w:t>
      </w:r>
      <w:r w:rsidR="006423CC" w:rsidRPr="00E75B0C">
        <w:rPr>
          <w:rFonts w:ascii="Verdana" w:hAnsi="Verdana"/>
          <w:sz w:val="18"/>
          <w:szCs w:val="18"/>
        </w:rPr>
        <w:t>φορολογική του κατοικία στην Γαλλία.</w:t>
      </w:r>
    </w:p>
    <w:p w:rsidR="006423CC" w:rsidRPr="00E75B0C" w:rsidRDefault="006423CC" w:rsidP="00544011">
      <w:pPr>
        <w:spacing w:line="240" w:lineRule="auto"/>
        <w:rPr>
          <w:rFonts w:ascii="Verdana" w:hAnsi="Verdana"/>
          <w:sz w:val="18"/>
          <w:szCs w:val="18"/>
        </w:rPr>
      </w:pPr>
      <w:r w:rsidRPr="00E75B0C">
        <w:rPr>
          <w:rFonts w:ascii="Verdana" w:hAnsi="Verdana"/>
          <w:sz w:val="18"/>
          <w:szCs w:val="18"/>
        </w:rPr>
        <w:t>Κατά τα άλλα ο φόρος εξαρτάται από 4 παράγοντες (για ιδιώτες):</w:t>
      </w:r>
    </w:p>
    <w:p w:rsidR="006423CC" w:rsidRPr="00E75B0C" w:rsidRDefault="006423CC" w:rsidP="006423CC">
      <w:pPr>
        <w:pStyle w:val="a3"/>
        <w:numPr>
          <w:ilvl w:val="0"/>
          <w:numId w:val="3"/>
        </w:numPr>
        <w:spacing w:line="240" w:lineRule="auto"/>
        <w:rPr>
          <w:rFonts w:ascii="Verdana" w:hAnsi="Verdana"/>
          <w:sz w:val="18"/>
          <w:szCs w:val="18"/>
        </w:rPr>
      </w:pPr>
      <w:r w:rsidRPr="00E75B0C">
        <w:rPr>
          <w:rFonts w:ascii="Verdana" w:hAnsi="Verdana"/>
          <w:sz w:val="18"/>
          <w:szCs w:val="18"/>
        </w:rPr>
        <w:t>Το αν η κατοικία (</w:t>
      </w:r>
      <w:r w:rsidR="00D33355" w:rsidRPr="00E75B0C">
        <w:rPr>
          <w:rFonts w:ascii="Verdana" w:hAnsi="Verdana"/>
          <w:sz w:val="18"/>
          <w:szCs w:val="18"/>
        </w:rPr>
        <w:t xml:space="preserve">εφόσον </w:t>
      </w:r>
      <w:r w:rsidRPr="00E75B0C">
        <w:rPr>
          <w:rFonts w:ascii="Verdana" w:hAnsi="Verdana"/>
          <w:sz w:val="18"/>
          <w:szCs w:val="18"/>
        </w:rPr>
        <w:t>πρόκειται για κατοικία) είναι πρώτη ή δευτερεύουσα.</w:t>
      </w:r>
      <w:r w:rsidR="00766C4E" w:rsidRPr="00E75B0C">
        <w:rPr>
          <w:rFonts w:ascii="Verdana" w:hAnsi="Verdana"/>
          <w:sz w:val="18"/>
          <w:szCs w:val="18"/>
        </w:rPr>
        <w:t xml:space="preserve"> </w:t>
      </w:r>
    </w:p>
    <w:p w:rsidR="006423CC" w:rsidRPr="00E75B0C" w:rsidRDefault="006423CC" w:rsidP="006423CC">
      <w:pPr>
        <w:pStyle w:val="a3"/>
        <w:numPr>
          <w:ilvl w:val="0"/>
          <w:numId w:val="3"/>
        </w:numPr>
        <w:spacing w:line="240" w:lineRule="auto"/>
        <w:rPr>
          <w:rFonts w:ascii="Verdana" w:hAnsi="Verdana"/>
          <w:sz w:val="18"/>
          <w:szCs w:val="18"/>
        </w:rPr>
      </w:pPr>
      <w:r w:rsidRPr="00E75B0C">
        <w:rPr>
          <w:rFonts w:ascii="Verdana" w:hAnsi="Verdana"/>
          <w:sz w:val="18"/>
          <w:szCs w:val="18"/>
        </w:rPr>
        <w:t>Το μέγεθος της υπεραξίας.</w:t>
      </w:r>
      <w:r w:rsidR="004D5D96" w:rsidRPr="00E75B0C">
        <w:rPr>
          <w:rFonts w:ascii="Verdana" w:hAnsi="Verdana"/>
          <w:sz w:val="18"/>
          <w:szCs w:val="18"/>
        </w:rPr>
        <w:t xml:space="preserve"> </w:t>
      </w:r>
    </w:p>
    <w:p w:rsidR="006423CC" w:rsidRPr="00E75B0C" w:rsidRDefault="006423CC" w:rsidP="006423CC">
      <w:pPr>
        <w:pStyle w:val="a3"/>
        <w:numPr>
          <w:ilvl w:val="0"/>
          <w:numId w:val="3"/>
        </w:numPr>
        <w:spacing w:line="240" w:lineRule="auto"/>
        <w:rPr>
          <w:rFonts w:ascii="Verdana" w:hAnsi="Verdana"/>
          <w:sz w:val="18"/>
          <w:szCs w:val="18"/>
        </w:rPr>
      </w:pPr>
      <w:r w:rsidRPr="00E75B0C">
        <w:rPr>
          <w:rFonts w:ascii="Verdana" w:hAnsi="Verdana"/>
          <w:sz w:val="18"/>
          <w:szCs w:val="18"/>
        </w:rPr>
        <w:t>Τη χρονική διάρκεια κατοχής του ακινήτου.</w:t>
      </w:r>
    </w:p>
    <w:p w:rsidR="006423CC" w:rsidRPr="00E75B0C" w:rsidRDefault="00766C4E" w:rsidP="006423CC">
      <w:pPr>
        <w:pStyle w:val="a3"/>
        <w:numPr>
          <w:ilvl w:val="0"/>
          <w:numId w:val="3"/>
        </w:numPr>
        <w:spacing w:line="240" w:lineRule="auto"/>
        <w:rPr>
          <w:rFonts w:ascii="Verdana" w:hAnsi="Verdana"/>
          <w:sz w:val="18"/>
          <w:szCs w:val="18"/>
        </w:rPr>
      </w:pPr>
      <w:r w:rsidRPr="00E75B0C">
        <w:rPr>
          <w:rFonts w:ascii="Verdana" w:hAnsi="Verdana"/>
          <w:sz w:val="18"/>
          <w:szCs w:val="18"/>
        </w:rPr>
        <w:t>Ισχύουσες εκπτώσεις ή απαλλαγές.</w:t>
      </w:r>
    </w:p>
    <w:p w:rsidR="006423CC" w:rsidRPr="00E75B0C" w:rsidRDefault="00766C4E" w:rsidP="00544011">
      <w:pPr>
        <w:spacing w:line="240" w:lineRule="auto"/>
        <w:rPr>
          <w:rFonts w:ascii="Verdana" w:hAnsi="Verdana"/>
          <w:sz w:val="18"/>
          <w:szCs w:val="18"/>
        </w:rPr>
      </w:pPr>
      <w:r w:rsidRPr="00E75B0C">
        <w:rPr>
          <w:rFonts w:ascii="Verdana" w:hAnsi="Verdana"/>
          <w:sz w:val="18"/>
          <w:szCs w:val="18"/>
        </w:rPr>
        <w:t>Ο βασικός συντελεστής είναι 34.5% (= 19% ο κατ’ εξοχήν φόρος + 15.5% κοινωνικές εισφορές).</w:t>
      </w:r>
    </w:p>
    <w:p w:rsidR="00766C4E" w:rsidRPr="00E75B0C" w:rsidRDefault="00766C4E" w:rsidP="00544011">
      <w:pPr>
        <w:spacing w:line="240" w:lineRule="auto"/>
        <w:rPr>
          <w:rFonts w:ascii="Verdana" w:hAnsi="Verdana"/>
          <w:sz w:val="18"/>
          <w:szCs w:val="18"/>
        </w:rPr>
      </w:pPr>
      <w:r w:rsidRPr="00E75B0C">
        <w:rPr>
          <w:rFonts w:ascii="Verdana" w:hAnsi="Verdana"/>
          <w:sz w:val="18"/>
          <w:szCs w:val="18"/>
        </w:rPr>
        <w:lastRenderedPageBreak/>
        <w:t>Υπάρχει επίσης ένας συμπληρωματικός φόρος υπεραξίας</w:t>
      </w:r>
      <w:r w:rsidR="00D33355" w:rsidRPr="00E75B0C">
        <w:rPr>
          <w:rFonts w:ascii="Verdana" w:hAnsi="Verdana"/>
          <w:sz w:val="18"/>
          <w:szCs w:val="18"/>
        </w:rPr>
        <w:t>,</w:t>
      </w:r>
      <w:r w:rsidRPr="00E75B0C">
        <w:rPr>
          <w:rFonts w:ascii="Verdana" w:hAnsi="Verdana"/>
          <w:sz w:val="18"/>
          <w:szCs w:val="18"/>
        </w:rPr>
        <w:t xml:space="preserve"> επιβαλλόμεν</w:t>
      </w:r>
      <w:r w:rsidR="00D33355" w:rsidRPr="00E75B0C">
        <w:rPr>
          <w:rFonts w:ascii="Verdana" w:hAnsi="Verdana"/>
          <w:sz w:val="18"/>
          <w:szCs w:val="18"/>
        </w:rPr>
        <w:t xml:space="preserve">ος σε «μεγάλες» υπεραξίες </w:t>
      </w:r>
      <w:r w:rsidRPr="00E75B0C">
        <w:rPr>
          <w:rFonts w:ascii="Verdana" w:hAnsi="Verdana"/>
          <w:sz w:val="18"/>
          <w:szCs w:val="18"/>
        </w:rPr>
        <w:t>ως εξής (εξαιρουμένων των πρώτων 10Κ σε κάθε κλίμακα):</w:t>
      </w:r>
    </w:p>
    <w:p w:rsidR="00766C4E" w:rsidRPr="00E75B0C" w:rsidRDefault="00BB3D37" w:rsidP="00544011">
      <w:pPr>
        <w:spacing w:line="240" w:lineRule="auto"/>
        <w:rPr>
          <w:rFonts w:ascii="Verdana" w:hAnsi="Verdana"/>
          <w:sz w:val="18"/>
          <w:szCs w:val="18"/>
        </w:rPr>
      </w:pPr>
      <w:r w:rsidRPr="00E75B0C">
        <w:rPr>
          <w:rFonts w:ascii="Verdana" w:hAnsi="Verdana"/>
          <w:sz w:val="18"/>
          <w:szCs w:val="18"/>
        </w:rPr>
        <w:t>Άνω</w:t>
      </w:r>
      <w:r w:rsidR="00766C4E" w:rsidRPr="00E75B0C">
        <w:rPr>
          <w:rFonts w:ascii="Verdana" w:hAnsi="Verdana"/>
          <w:sz w:val="18"/>
          <w:szCs w:val="18"/>
        </w:rPr>
        <w:t xml:space="preserve"> των 50Κ και ως 100Κ</w:t>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t>2%</w:t>
      </w:r>
    </w:p>
    <w:p w:rsidR="00766C4E" w:rsidRPr="00E75B0C" w:rsidRDefault="00BB3D37" w:rsidP="00544011">
      <w:pPr>
        <w:spacing w:line="240" w:lineRule="auto"/>
        <w:rPr>
          <w:rFonts w:ascii="Verdana" w:hAnsi="Verdana"/>
          <w:sz w:val="18"/>
          <w:szCs w:val="18"/>
        </w:rPr>
      </w:pPr>
      <w:r w:rsidRPr="00E75B0C">
        <w:rPr>
          <w:rFonts w:ascii="Verdana" w:hAnsi="Verdana"/>
          <w:sz w:val="18"/>
          <w:szCs w:val="18"/>
        </w:rPr>
        <w:t>Άνω</w:t>
      </w:r>
      <w:r w:rsidR="00766C4E" w:rsidRPr="00E75B0C">
        <w:rPr>
          <w:rFonts w:ascii="Verdana" w:hAnsi="Verdana"/>
          <w:sz w:val="18"/>
          <w:szCs w:val="18"/>
        </w:rPr>
        <w:t xml:space="preserve"> των 100Κ και ως 150Κ</w:t>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t>3%</w:t>
      </w:r>
    </w:p>
    <w:p w:rsidR="00766C4E" w:rsidRPr="00E75B0C" w:rsidRDefault="00BB3D37" w:rsidP="00544011">
      <w:pPr>
        <w:spacing w:line="240" w:lineRule="auto"/>
        <w:rPr>
          <w:rFonts w:ascii="Verdana" w:hAnsi="Verdana"/>
          <w:sz w:val="18"/>
          <w:szCs w:val="18"/>
        </w:rPr>
      </w:pPr>
      <w:r w:rsidRPr="00E75B0C">
        <w:rPr>
          <w:rFonts w:ascii="Verdana" w:hAnsi="Verdana"/>
          <w:sz w:val="18"/>
          <w:szCs w:val="18"/>
        </w:rPr>
        <w:t>Άνω</w:t>
      </w:r>
      <w:r w:rsidR="00766C4E" w:rsidRPr="00E75B0C">
        <w:rPr>
          <w:rFonts w:ascii="Verdana" w:hAnsi="Verdana"/>
          <w:sz w:val="18"/>
          <w:szCs w:val="18"/>
        </w:rPr>
        <w:t xml:space="preserve"> των 150Κ και ως 200Κ</w:t>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t>4%</w:t>
      </w:r>
    </w:p>
    <w:p w:rsidR="00766C4E" w:rsidRPr="00E75B0C" w:rsidRDefault="00BB3D37" w:rsidP="00544011">
      <w:pPr>
        <w:spacing w:line="240" w:lineRule="auto"/>
        <w:rPr>
          <w:rFonts w:ascii="Verdana" w:hAnsi="Verdana"/>
          <w:sz w:val="18"/>
          <w:szCs w:val="18"/>
        </w:rPr>
      </w:pPr>
      <w:r w:rsidRPr="00E75B0C">
        <w:rPr>
          <w:rFonts w:ascii="Verdana" w:hAnsi="Verdana"/>
          <w:sz w:val="18"/>
          <w:szCs w:val="18"/>
        </w:rPr>
        <w:t>Άνω</w:t>
      </w:r>
      <w:r w:rsidR="00766C4E" w:rsidRPr="00E75B0C">
        <w:rPr>
          <w:rFonts w:ascii="Verdana" w:hAnsi="Verdana"/>
          <w:sz w:val="18"/>
          <w:szCs w:val="18"/>
        </w:rPr>
        <w:t xml:space="preserve"> των 200Κ και ως 250Κ</w:t>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t>5%</w:t>
      </w:r>
    </w:p>
    <w:p w:rsidR="00766C4E" w:rsidRPr="00E75B0C" w:rsidRDefault="00BB3D37" w:rsidP="00544011">
      <w:pPr>
        <w:spacing w:line="240" w:lineRule="auto"/>
        <w:rPr>
          <w:rFonts w:ascii="Verdana" w:hAnsi="Verdana"/>
          <w:sz w:val="18"/>
          <w:szCs w:val="18"/>
        </w:rPr>
      </w:pPr>
      <w:r w:rsidRPr="00E75B0C">
        <w:rPr>
          <w:rFonts w:ascii="Verdana" w:hAnsi="Verdana"/>
          <w:sz w:val="18"/>
          <w:szCs w:val="18"/>
        </w:rPr>
        <w:t>Άνω</w:t>
      </w:r>
      <w:r w:rsidR="00766C4E" w:rsidRPr="00E75B0C">
        <w:rPr>
          <w:rFonts w:ascii="Verdana" w:hAnsi="Verdana"/>
          <w:sz w:val="18"/>
          <w:szCs w:val="18"/>
        </w:rPr>
        <w:t xml:space="preserve"> των 250Κ</w:t>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r>
      <w:r w:rsidR="00766C4E" w:rsidRPr="00E75B0C">
        <w:rPr>
          <w:rFonts w:ascii="Verdana" w:hAnsi="Verdana"/>
          <w:sz w:val="18"/>
          <w:szCs w:val="18"/>
        </w:rPr>
        <w:tab/>
        <w:t>6%</w:t>
      </w:r>
    </w:p>
    <w:p w:rsidR="004D5D96" w:rsidRPr="00E75B0C" w:rsidRDefault="004D5D96" w:rsidP="00544011">
      <w:pPr>
        <w:spacing w:line="240" w:lineRule="auto"/>
        <w:rPr>
          <w:rFonts w:ascii="Verdana" w:hAnsi="Verdana"/>
          <w:sz w:val="18"/>
          <w:szCs w:val="18"/>
        </w:rPr>
      </w:pPr>
      <w:r w:rsidRPr="00E75B0C">
        <w:rPr>
          <w:rFonts w:ascii="Verdana" w:hAnsi="Verdana"/>
          <w:sz w:val="18"/>
          <w:szCs w:val="18"/>
        </w:rPr>
        <w:t xml:space="preserve">Από την άλλη, δεν επιβάλλεται φόρος υπεραξίας αν η τιμή </w:t>
      </w:r>
      <w:r w:rsidR="00490400" w:rsidRPr="00E75B0C">
        <w:rPr>
          <w:rFonts w:ascii="Verdana" w:hAnsi="Verdana"/>
          <w:sz w:val="18"/>
          <w:szCs w:val="18"/>
        </w:rPr>
        <w:t>πώλησης</w:t>
      </w:r>
      <w:r w:rsidRPr="00E75B0C">
        <w:rPr>
          <w:rFonts w:ascii="Verdana" w:hAnsi="Verdana"/>
          <w:sz w:val="18"/>
          <w:szCs w:val="18"/>
        </w:rPr>
        <w:t xml:space="preserve"> του ακινήτου είναι ως 15Κ – όμως σ’ αυτήν την </w:t>
      </w:r>
      <w:r w:rsidR="00BB3D37" w:rsidRPr="00E75B0C">
        <w:rPr>
          <w:rFonts w:ascii="Verdana" w:hAnsi="Verdana"/>
          <w:sz w:val="18"/>
          <w:szCs w:val="18"/>
        </w:rPr>
        <w:t>περίπτωση</w:t>
      </w:r>
      <w:r w:rsidRPr="00E75B0C">
        <w:rPr>
          <w:rFonts w:ascii="Verdana" w:hAnsi="Verdana"/>
          <w:sz w:val="18"/>
          <w:szCs w:val="18"/>
        </w:rPr>
        <w:t xml:space="preserve"> υπάρχει φόρος εισοδήματος</w:t>
      </w:r>
      <w:r w:rsidR="00D33355" w:rsidRPr="00E75B0C">
        <w:rPr>
          <w:rFonts w:ascii="Verdana" w:hAnsi="Verdana"/>
          <w:sz w:val="18"/>
          <w:szCs w:val="18"/>
        </w:rPr>
        <w:t xml:space="preserve"> (με όλες τις πιθανές εκπτώσεις</w:t>
      </w:r>
      <w:r w:rsidRPr="00E75B0C">
        <w:rPr>
          <w:rFonts w:ascii="Verdana" w:hAnsi="Verdana"/>
          <w:sz w:val="18"/>
          <w:szCs w:val="18"/>
        </w:rPr>
        <w:t xml:space="preserve"> που σχετίζονται με τους φόρους εισοδήματος). </w:t>
      </w:r>
    </w:p>
    <w:p w:rsidR="00766C4E" w:rsidRPr="00E75B0C" w:rsidRDefault="004D5D96" w:rsidP="00544011">
      <w:pPr>
        <w:spacing w:line="240" w:lineRule="auto"/>
        <w:rPr>
          <w:rFonts w:ascii="Verdana" w:hAnsi="Verdana"/>
          <w:sz w:val="18"/>
          <w:szCs w:val="18"/>
        </w:rPr>
      </w:pPr>
      <w:r w:rsidRPr="00E75B0C">
        <w:rPr>
          <w:rFonts w:ascii="Verdana" w:hAnsi="Verdana"/>
          <w:sz w:val="18"/>
          <w:szCs w:val="18"/>
        </w:rPr>
        <w:t>Η</w:t>
      </w:r>
      <w:r w:rsidR="00766C4E" w:rsidRPr="00E75B0C">
        <w:rPr>
          <w:rFonts w:ascii="Verdana" w:hAnsi="Verdana"/>
          <w:sz w:val="18"/>
          <w:szCs w:val="18"/>
        </w:rPr>
        <w:t xml:space="preserve"> πρώτη (η </w:t>
      </w:r>
      <w:r w:rsidR="00D33355" w:rsidRPr="00E75B0C">
        <w:rPr>
          <w:rFonts w:ascii="Verdana" w:hAnsi="Verdana"/>
          <w:sz w:val="18"/>
          <w:szCs w:val="18"/>
        </w:rPr>
        <w:t>κύρια</w:t>
      </w:r>
      <w:r w:rsidR="00766C4E" w:rsidRPr="00E75B0C">
        <w:rPr>
          <w:rFonts w:ascii="Verdana" w:hAnsi="Verdana"/>
          <w:sz w:val="18"/>
          <w:szCs w:val="18"/>
        </w:rPr>
        <w:t>) κατοικία απαλλάσσεται του φόρου υπεραξίας. Σε όλες τις άλλες περιπτώσεις</w:t>
      </w:r>
      <w:r w:rsidRPr="00E75B0C">
        <w:rPr>
          <w:rFonts w:ascii="Verdana" w:hAnsi="Verdana"/>
          <w:sz w:val="18"/>
          <w:szCs w:val="18"/>
        </w:rPr>
        <w:t xml:space="preserve"> υπάρχουν ποσοστιαίες εκπτώσεις (</w:t>
      </w:r>
      <w:r w:rsidRPr="00E75B0C">
        <w:rPr>
          <w:rFonts w:ascii="Verdana" w:hAnsi="Verdana"/>
          <w:sz w:val="18"/>
          <w:szCs w:val="18"/>
          <w:lang w:val="en-US"/>
        </w:rPr>
        <w:t>tapered</w:t>
      </w:r>
      <w:r w:rsidRPr="00E75B0C">
        <w:rPr>
          <w:rFonts w:ascii="Verdana" w:hAnsi="Verdana"/>
          <w:sz w:val="18"/>
          <w:szCs w:val="18"/>
        </w:rPr>
        <w:t xml:space="preserve"> </w:t>
      </w:r>
      <w:r w:rsidRPr="00E75B0C">
        <w:rPr>
          <w:rFonts w:ascii="Verdana" w:hAnsi="Verdana"/>
          <w:sz w:val="18"/>
          <w:szCs w:val="18"/>
          <w:lang w:val="en-US"/>
        </w:rPr>
        <w:t>relief</w:t>
      </w:r>
      <w:r w:rsidRPr="00E75B0C">
        <w:rPr>
          <w:rFonts w:ascii="Verdana" w:hAnsi="Verdana"/>
          <w:sz w:val="18"/>
          <w:szCs w:val="18"/>
        </w:rPr>
        <w:t xml:space="preserve">) </w:t>
      </w:r>
      <w:r w:rsidR="00766C4E" w:rsidRPr="00E75B0C">
        <w:rPr>
          <w:rFonts w:ascii="Verdana" w:hAnsi="Verdana"/>
          <w:sz w:val="18"/>
          <w:szCs w:val="18"/>
        </w:rPr>
        <w:t>εφαρμοζόμενες κλιμακωτά, αναλόγως της χρονικής διαρκείας της κατοχής του ακιν</w:t>
      </w:r>
      <w:r w:rsidRPr="00E75B0C">
        <w:rPr>
          <w:rFonts w:ascii="Verdana" w:hAnsi="Verdana"/>
          <w:sz w:val="18"/>
          <w:szCs w:val="18"/>
        </w:rPr>
        <w:t xml:space="preserve">ήτου. </w:t>
      </w:r>
      <w:r w:rsidR="00DB0BD2" w:rsidRPr="00E75B0C">
        <w:rPr>
          <w:rFonts w:ascii="Verdana" w:hAnsi="Verdana"/>
          <w:sz w:val="18"/>
          <w:szCs w:val="18"/>
        </w:rPr>
        <w:t>Άλλες</w:t>
      </w:r>
      <w:r w:rsidR="00766C4E" w:rsidRPr="00E75B0C">
        <w:rPr>
          <w:rFonts w:ascii="Verdana" w:hAnsi="Verdana"/>
          <w:sz w:val="18"/>
          <w:szCs w:val="18"/>
        </w:rPr>
        <w:t xml:space="preserve"> εκπτώσεις για τον κατ’ εξοχήν φόρο και άλλ</w:t>
      </w:r>
      <w:r w:rsidRPr="00E75B0C">
        <w:rPr>
          <w:rFonts w:ascii="Verdana" w:hAnsi="Verdana"/>
          <w:sz w:val="18"/>
          <w:szCs w:val="18"/>
        </w:rPr>
        <w:t xml:space="preserve">ες για τις κοινωνικές εισφορές. Για τον κατ’ εξοχήν φόρο αυτές </w:t>
      </w:r>
      <w:r w:rsidR="00D33355" w:rsidRPr="00E75B0C">
        <w:rPr>
          <w:rFonts w:ascii="Verdana" w:hAnsi="Verdana"/>
          <w:sz w:val="18"/>
          <w:szCs w:val="18"/>
        </w:rPr>
        <w:t>οι</w:t>
      </w:r>
      <w:r w:rsidRPr="00E75B0C">
        <w:rPr>
          <w:rFonts w:ascii="Verdana" w:hAnsi="Verdana"/>
          <w:sz w:val="18"/>
          <w:szCs w:val="18"/>
        </w:rPr>
        <w:t xml:space="preserve"> εκπτώσεις είναι:</w:t>
      </w:r>
    </w:p>
    <w:p w:rsidR="00766C4E" w:rsidRPr="00E75B0C" w:rsidRDefault="004D5D96" w:rsidP="004D5D96">
      <w:pPr>
        <w:pStyle w:val="a3"/>
        <w:numPr>
          <w:ilvl w:val="0"/>
          <w:numId w:val="3"/>
        </w:numPr>
        <w:spacing w:line="240" w:lineRule="auto"/>
        <w:rPr>
          <w:rFonts w:ascii="Verdana" w:hAnsi="Verdana"/>
          <w:sz w:val="18"/>
          <w:szCs w:val="18"/>
        </w:rPr>
      </w:pPr>
      <w:r w:rsidRPr="00E75B0C">
        <w:rPr>
          <w:rFonts w:ascii="Verdana" w:hAnsi="Verdana"/>
          <w:sz w:val="18"/>
          <w:szCs w:val="18"/>
        </w:rPr>
        <w:t xml:space="preserve">Για </w:t>
      </w:r>
      <w:r w:rsidR="00BB3D37" w:rsidRPr="00E75B0C">
        <w:rPr>
          <w:rFonts w:ascii="Verdana" w:hAnsi="Verdana"/>
          <w:sz w:val="18"/>
          <w:szCs w:val="18"/>
        </w:rPr>
        <w:t>διακράτηση</w:t>
      </w:r>
      <w:r w:rsidRPr="00E75B0C">
        <w:rPr>
          <w:rFonts w:ascii="Verdana" w:hAnsi="Verdana"/>
          <w:sz w:val="18"/>
          <w:szCs w:val="18"/>
        </w:rPr>
        <w:t xml:space="preserve"> έως 5 έτη, </w:t>
      </w:r>
      <w:r w:rsidR="00BB3D37" w:rsidRPr="00E75B0C">
        <w:rPr>
          <w:rFonts w:ascii="Verdana" w:hAnsi="Verdana"/>
          <w:sz w:val="18"/>
          <w:szCs w:val="18"/>
        </w:rPr>
        <w:t>καμία</w:t>
      </w:r>
      <w:r w:rsidRPr="00E75B0C">
        <w:rPr>
          <w:rFonts w:ascii="Verdana" w:hAnsi="Verdana"/>
          <w:sz w:val="18"/>
          <w:szCs w:val="18"/>
        </w:rPr>
        <w:t xml:space="preserve"> έκπτωση.</w:t>
      </w:r>
    </w:p>
    <w:p w:rsidR="004D5D96" w:rsidRPr="00E75B0C" w:rsidRDefault="00BB3D37" w:rsidP="004D5D96">
      <w:pPr>
        <w:pStyle w:val="a3"/>
        <w:numPr>
          <w:ilvl w:val="0"/>
          <w:numId w:val="3"/>
        </w:numPr>
        <w:spacing w:line="240" w:lineRule="auto"/>
        <w:rPr>
          <w:rFonts w:ascii="Verdana" w:hAnsi="Verdana"/>
          <w:sz w:val="18"/>
          <w:szCs w:val="18"/>
        </w:rPr>
      </w:pPr>
      <w:r w:rsidRPr="00E75B0C">
        <w:rPr>
          <w:rFonts w:ascii="Verdana" w:hAnsi="Verdana"/>
          <w:sz w:val="18"/>
          <w:szCs w:val="18"/>
        </w:rPr>
        <w:t>Για διακράτηση</w:t>
      </w:r>
      <w:r w:rsidR="004D5D96" w:rsidRPr="00E75B0C">
        <w:rPr>
          <w:rFonts w:ascii="Verdana" w:hAnsi="Verdana"/>
          <w:sz w:val="18"/>
          <w:szCs w:val="18"/>
        </w:rPr>
        <w:t xml:space="preserve"> από 6 ως 21 έτη, 6% τον χρόνο.</w:t>
      </w:r>
    </w:p>
    <w:p w:rsidR="004D5D96" w:rsidRPr="00E75B0C" w:rsidRDefault="004D5D96" w:rsidP="004D5D96">
      <w:pPr>
        <w:pStyle w:val="a3"/>
        <w:numPr>
          <w:ilvl w:val="0"/>
          <w:numId w:val="3"/>
        </w:numPr>
        <w:spacing w:line="240" w:lineRule="auto"/>
        <w:rPr>
          <w:rFonts w:ascii="Verdana" w:hAnsi="Verdana"/>
          <w:sz w:val="18"/>
          <w:szCs w:val="18"/>
        </w:rPr>
      </w:pPr>
      <w:r w:rsidRPr="00E75B0C">
        <w:rPr>
          <w:rFonts w:ascii="Verdana" w:hAnsi="Verdana"/>
          <w:sz w:val="18"/>
          <w:szCs w:val="18"/>
        </w:rPr>
        <w:t>Για το 22</w:t>
      </w:r>
      <w:r w:rsidRPr="00E75B0C">
        <w:rPr>
          <w:rFonts w:ascii="Verdana" w:hAnsi="Verdana"/>
          <w:sz w:val="18"/>
          <w:szCs w:val="18"/>
          <w:vertAlign w:val="superscript"/>
        </w:rPr>
        <w:t>ο</w:t>
      </w:r>
      <w:r w:rsidRPr="00E75B0C">
        <w:rPr>
          <w:rFonts w:ascii="Verdana" w:hAnsi="Verdana"/>
          <w:sz w:val="18"/>
          <w:szCs w:val="18"/>
        </w:rPr>
        <w:t xml:space="preserve"> έτος διακρατήσεως, 4% (οπότε και «εξαφανίζεται» ο φόρος υπεραξίας, καθώς η σωρευτική έκπτωση φθάνει το 100%).</w:t>
      </w:r>
    </w:p>
    <w:p w:rsidR="004D5D96" w:rsidRPr="00E75B0C" w:rsidRDefault="00BB3D37" w:rsidP="004D5D96">
      <w:pPr>
        <w:spacing w:line="240" w:lineRule="auto"/>
        <w:rPr>
          <w:rFonts w:ascii="Verdana" w:hAnsi="Verdana"/>
          <w:sz w:val="18"/>
          <w:szCs w:val="18"/>
        </w:rPr>
      </w:pPr>
      <w:r w:rsidRPr="00E75B0C">
        <w:rPr>
          <w:rFonts w:ascii="Verdana" w:hAnsi="Verdana"/>
          <w:sz w:val="18"/>
          <w:szCs w:val="18"/>
        </w:rPr>
        <w:t>Όμως</w:t>
      </w:r>
      <w:r w:rsidR="004D5D96" w:rsidRPr="00E75B0C">
        <w:rPr>
          <w:rFonts w:ascii="Verdana" w:hAnsi="Verdana"/>
          <w:sz w:val="18"/>
          <w:szCs w:val="18"/>
        </w:rPr>
        <w:t xml:space="preserve"> η σωρευτική έκπτωση για τις κοινωνικές εισφορές φθάνει το 100% το 30</w:t>
      </w:r>
      <w:r w:rsidR="004D5D96" w:rsidRPr="00E75B0C">
        <w:rPr>
          <w:rFonts w:ascii="Verdana" w:hAnsi="Verdana"/>
          <w:sz w:val="18"/>
          <w:szCs w:val="18"/>
          <w:vertAlign w:val="superscript"/>
        </w:rPr>
        <w:t>ο</w:t>
      </w:r>
      <w:r w:rsidR="004D5D96" w:rsidRPr="00E75B0C">
        <w:rPr>
          <w:rFonts w:ascii="Verdana" w:hAnsi="Verdana"/>
          <w:sz w:val="18"/>
          <w:szCs w:val="18"/>
        </w:rPr>
        <w:t xml:space="preserve"> έτος διακρατήσεως.</w:t>
      </w:r>
    </w:p>
    <w:p w:rsidR="004D5D96" w:rsidRPr="00E75B0C" w:rsidRDefault="004D5D96" w:rsidP="004D5D96">
      <w:pPr>
        <w:spacing w:line="240" w:lineRule="auto"/>
        <w:rPr>
          <w:rFonts w:ascii="Verdana" w:hAnsi="Verdana"/>
          <w:sz w:val="18"/>
          <w:szCs w:val="18"/>
        </w:rPr>
      </w:pPr>
    </w:p>
    <w:p w:rsidR="004D5D96" w:rsidRPr="00E75B0C" w:rsidRDefault="004D5D96">
      <w:pPr>
        <w:rPr>
          <w:rFonts w:ascii="Verdana" w:hAnsi="Verdana"/>
          <w:sz w:val="18"/>
          <w:szCs w:val="18"/>
        </w:rPr>
      </w:pPr>
      <w:r w:rsidRPr="00E75B0C">
        <w:rPr>
          <w:rFonts w:ascii="Verdana" w:hAnsi="Verdana"/>
          <w:sz w:val="18"/>
          <w:szCs w:val="18"/>
        </w:rPr>
        <w:br w:type="page"/>
      </w:r>
    </w:p>
    <w:p w:rsidR="004D5D96" w:rsidRPr="005E32C6" w:rsidRDefault="004D5D96" w:rsidP="004D5D96">
      <w:pPr>
        <w:spacing w:line="240" w:lineRule="auto"/>
        <w:rPr>
          <w:rFonts w:ascii="Verdana" w:hAnsi="Verdana"/>
          <w:b/>
          <w:sz w:val="20"/>
          <w:szCs w:val="18"/>
        </w:rPr>
      </w:pPr>
      <w:r w:rsidRPr="005E32C6">
        <w:rPr>
          <w:rFonts w:ascii="Verdana" w:hAnsi="Verdana"/>
          <w:b/>
          <w:sz w:val="20"/>
          <w:szCs w:val="18"/>
        </w:rPr>
        <w:lastRenderedPageBreak/>
        <w:t>Γερμανία</w:t>
      </w:r>
    </w:p>
    <w:p w:rsidR="004D5D96" w:rsidRPr="00E75B0C" w:rsidRDefault="004D5D96" w:rsidP="004D5D96">
      <w:pPr>
        <w:spacing w:line="240" w:lineRule="auto"/>
        <w:rPr>
          <w:rFonts w:ascii="Verdana" w:hAnsi="Verdana"/>
          <w:sz w:val="18"/>
          <w:szCs w:val="18"/>
        </w:rPr>
      </w:pPr>
    </w:p>
    <w:p w:rsidR="004D5D96" w:rsidRPr="00E75B0C" w:rsidRDefault="00EC7CAD" w:rsidP="004D5D96">
      <w:pPr>
        <w:spacing w:line="240" w:lineRule="auto"/>
        <w:rPr>
          <w:rFonts w:ascii="Verdana" w:hAnsi="Verdana"/>
          <w:b/>
          <w:sz w:val="18"/>
          <w:szCs w:val="18"/>
        </w:rPr>
      </w:pPr>
      <w:r w:rsidRPr="00E75B0C">
        <w:rPr>
          <w:rFonts w:ascii="Verdana" w:hAnsi="Verdana"/>
          <w:b/>
          <w:sz w:val="18"/>
          <w:szCs w:val="18"/>
        </w:rPr>
        <w:t xml:space="preserve">(Α) Φόροι </w:t>
      </w:r>
      <w:r w:rsidR="00B672FE" w:rsidRPr="00E75B0C">
        <w:rPr>
          <w:rFonts w:ascii="Verdana" w:hAnsi="Verdana"/>
          <w:b/>
          <w:sz w:val="18"/>
          <w:szCs w:val="18"/>
        </w:rPr>
        <w:t>μεταβίβασης</w:t>
      </w:r>
      <w:r w:rsidRPr="00E75B0C">
        <w:rPr>
          <w:rFonts w:ascii="Verdana" w:hAnsi="Verdana"/>
          <w:b/>
          <w:sz w:val="18"/>
          <w:szCs w:val="18"/>
        </w:rPr>
        <w:t>.</w:t>
      </w:r>
    </w:p>
    <w:p w:rsidR="00EC7CAD" w:rsidRPr="00E75B0C" w:rsidRDefault="00374F80" w:rsidP="004D5D96">
      <w:pPr>
        <w:spacing w:line="240" w:lineRule="auto"/>
        <w:rPr>
          <w:rFonts w:ascii="Verdana" w:hAnsi="Verdana"/>
          <w:sz w:val="18"/>
          <w:szCs w:val="18"/>
        </w:rPr>
      </w:pPr>
      <w:r w:rsidRPr="00E75B0C">
        <w:rPr>
          <w:rFonts w:ascii="Verdana" w:hAnsi="Verdana"/>
          <w:sz w:val="18"/>
          <w:szCs w:val="18"/>
        </w:rPr>
        <w:t>Υπάρχουν οι εξής φόροι και κόστη:</w:t>
      </w:r>
    </w:p>
    <w:p w:rsidR="00374F80" w:rsidRPr="00E75B0C" w:rsidRDefault="00374F80" w:rsidP="00374F80">
      <w:pPr>
        <w:pStyle w:val="a3"/>
        <w:numPr>
          <w:ilvl w:val="0"/>
          <w:numId w:val="3"/>
        </w:numPr>
        <w:spacing w:line="240" w:lineRule="auto"/>
        <w:rPr>
          <w:rFonts w:ascii="Verdana" w:hAnsi="Verdana"/>
          <w:sz w:val="18"/>
          <w:szCs w:val="18"/>
        </w:rPr>
      </w:pPr>
      <w:r w:rsidRPr="00E75B0C">
        <w:rPr>
          <w:rFonts w:ascii="Verdana" w:hAnsi="Verdana"/>
          <w:sz w:val="18"/>
          <w:szCs w:val="18"/>
        </w:rPr>
        <w:t xml:space="preserve">Φόρος </w:t>
      </w:r>
      <w:r w:rsidR="00B672FE" w:rsidRPr="00E75B0C">
        <w:rPr>
          <w:rFonts w:ascii="Verdana" w:hAnsi="Verdana"/>
          <w:sz w:val="18"/>
          <w:szCs w:val="18"/>
        </w:rPr>
        <w:t>μεταβίβασης</w:t>
      </w:r>
      <w:r w:rsidRPr="00E75B0C">
        <w:rPr>
          <w:rFonts w:ascii="Verdana" w:hAnsi="Verdana"/>
          <w:sz w:val="18"/>
          <w:szCs w:val="18"/>
        </w:rPr>
        <w:t xml:space="preserve"> γης</w:t>
      </w:r>
      <w:r w:rsidR="002F6592" w:rsidRPr="00E75B0C">
        <w:rPr>
          <w:rFonts w:ascii="Verdana" w:hAnsi="Verdana"/>
          <w:sz w:val="18"/>
          <w:szCs w:val="18"/>
        </w:rPr>
        <w:t>, δηλ. του εγγείου δικαιώματος</w:t>
      </w:r>
      <w:r w:rsidRPr="00E75B0C">
        <w:rPr>
          <w:rFonts w:ascii="Verdana" w:hAnsi="Verdana"/>
          <w:sz w:val="18"/>
          <w:szCs w:val="18"/>
        </w:rPr>
        <w:t xml:space="preserve"> (</w:t>
      </w:r>
      <w:r w:rsidRPr="00E75B0C">
        <w:rPr>
          <w:rFonts w:ascii="Verdana" w:hAnsi="Verdana"/>
          <w:sz w:val="18"/>
          <w:szCs w:val="18"/>
          <w:lang w:val="en-US"/>
        </w:rPr>
        <w:t>land</w:t>
      </w:r>
      <w:r w:rsidRPr="00E75B0C">
        <w:rPr>
          <w:rFonts w:ascii="Verdana" w:hAnsi="Verdana"/>
          <w:sz w:val="18"/>
          <w:szCs w:val="18"/>
        </w:rPr>
        <w:t xml:space="preserve"> </w:t>
      </w:r>
      <w:r w:rsidRPr="00E75B0C">
        <w:rPr>
          <w:rFonts w:ascii="Verdana" w:hAnsi="Verdana"/>
          <w:sz w:val="18"/>
          <w:szCs w:val="18"/>
          <w:lang w:val="en-US"/>
        </w:rPr>
        <w:t>transfer</w:t>
      </w:r>
      <w:r w:rsidRPr="00E75B0C">
        <w:rPr>
          <w:rFonts w:ascii="Verdana" w:hAnsi="Verdana"/>
          <w:sz w:val="18"/>
          <w:szCs w:val="18"/>
        </w:rPr>
        <w:t xml:space="preserve"> </w:t>
      </w:r>
      <w:r w:rsidRPr="00E75B0C">
        <w:rPr>
          <w:rFonts w:ascii="Verdana" w:hAnsi="Verdana"/>
          <w:sz w:val="18"/>
          <w:szCs w:val="18"/>
          <w:lang w:val="en-US"/>
        </w:rPr>
        <w:t>tax</w:t>
      </w:r>
      <w:r w:rsidRPr="00E75B0C">
        <w:rPr>
          <w:rFonts w:ascii="Verdana" w:hAnsi="Verdana"/>
          <w:sz w:val="18"/>
          <w:szCs w:val="18"/>
        </w:rPr>
        <w:t xml:space="preserve">, ή </w:t>
      </w:r>
      <w:proofErr w:type="spellStart"/>
      <w:r w:rsidRPr="00E75B0C">
        <w:rPr>
          <w:rFonts w:ascii="Verdana" w:hAnsi="Verdana"/>
          <w:sz w:val="18"/>
          <w:szCs w:val="18"/>
          <w:lang w:val="en-US"/>
        </w:rPr>
        <w:t>grunderwerbssteuer</w:t>
      </w:r>
      <w:proofErr w:type="spellEnd"/>
      <w:r w:rsidRPr="00E75B0C">
        <w:rPr>
          <w:rFonts w:ascii="Verdana" w:hAnsi="Verdana"/>
          <w:sz w:val="18"/>
          <w:szCs w:val="18"/>
        </w:rPr>
        <w:t xml:space="preserve">), 3.5% επί της τιμής </w:t>
      </w:r>
      <w:r w:rsidR="00490400" w:rsidRPr="00E75B0C">
        <w:rPr>
          <w:rFonts w:ascii="Verdana" w:hAnsi="Verdana"/>
          <w:sz w:val="18"/>
          <w:szCs w:val="18"/>
        </w:rPr>
        <w:t>πώλησης</w:t>
      </w:r>
      <w:r w:rsidRPr="00E75B0C">
        <w:rPr>
          <w:rFonts w:ascii="Verdana" w:hAnsi="Verdana"/>
          <w:sz w:val="18"/>
          <w:szCs w:val="18"/>
        </w:rPr>
        <w:t>.</w:t>
      </w:r>
    </w:p>
    <w:p w:rsidR="00374F80" w:rsidRPr="00E75B0C" w:rsidRDefault="00374F80" w:rsidP="00374F80">
      <w:pPr>
        <w:pStyle w:val="a3"/>
        <w:numPr>
          <w:ilvl w:val="0"/>
          <w:numId w:val="3"/>
        </w:numPr>
        <w:spacing w:line="240" w:lineRule="auto"/>
        <w:rPr>
          <w:rFonts w:ascii="Verdana" w:hAnsi="Verdana"/>
          <w:sz w:val="18"/>
          <w:szCs w:val="18"/>
        </w:rPr>
      </w:pPr>
      <w:r w:rsidRPr="00E75B0C">
        <w:rPr>
          <w:rFonts w:ascii="Verdana" w:hAnsi="Verdana"/>
          <w:sz w:val="18"/>
          <w:szCs w:val="18"/>
        </w:rPr>
        <w:t xml:space="preserve">Συμβολαιογραφικά: 0.5% ως 1.5% επί της τιμής </w:t>
      </w:r>
      <w:r w:rsidR="00490400" w:rsidRPr="00E75B0C">
        <w:rPr>
          <w:rFonts w:ascii="Verdana" w:hAnsi="Verdana"/>
          <w:sz w:val="18"/>
          <w:szCs w:val="18"/>
        </w:rPr>
        <w:t>πώλησης</w:t>
      </w:r>
      <w:r w:rsidRPr="00E75B0C">
        <w:rPr>
          <w:rFonts w:ascii="Verdana" w:hAnsi="Verdana"/>
          <w:sz w:val="18"/>
          <w:szCs w:val="18"/>
        </w:rPr>
        <w:t>.</w:t>
      </w:r>
    </w:p>
    <w:p w:rsidR="00374F80" w:rsidRPr="00E75B0C" w:rsidRDefault="00374F80" w:rsidP="00374F80">
      <w:pPr>
        <w:pStyle w:val="a3"/>
        <w:numPr>
          <w:ilvl w:val="0"/>
          <w:numId w:val="3"/>
        </w:numPr>
        <w:spacing w:line="240" w:lineRule="auto"/>
        <w:rPr>
          <w:rFonts w:ascii="Verdana" w:hAnsi="Verdana"/>
          <w:sz w:val="18"/>
          <w:szCs w:val="18"/>
        </w:rPr>
      </w:pPr>
      <w:r w:rsidRPr="00E75B0C">
        <w:rPr>
          <w:rFonts w:ascii="Verdana" w:hAnsi="Verdana"/>
          <w:sz w:val="18"/>
          <w:szCs w:val="18"/>
        </w:rPr>
        <w:t>Προμήθεια κτηματομεσίτη (αν είναι τέτοια η περίπτωση)</w:t>
      </w:r>
      <w:r w:rsidR="002F6592" w:rsidRPr="00E75B0C">
        <w:rPr>
          <w:rFonts w:ascii="Verdana" w:hAnsi="Verdana"/>
          <w:sz w:val="18"/>
          <w:szCs w:val="18"/>
        </w:rPr>
        <w:t>, συχνά διαπραγματεύσιμη</w:t>
      </w:r>
      <w:r w:rsidRPr="00E75B0C">
        <w:rPr>
          <w:rFonts w:ascii="Verdana" w:hAnsi="Verdana"/>
          <w:sz w:val="18"/>
          <w:szCs w:val="18"/>
        </w:rPr>
        <w:t xml:space="preserve">: </w:t>
      </w:r>
      <w:r w:rsidR="002F6592" w:rsidRPr="00E75B0C">
        <w:rPr>
          <w:rFonts w:ascii="Verdana" w:hAnsi="Verdana"/>
          <w:sz w:val="18"/>
          <w:szCs w:val="18"/>
        </w:rPr>
        <w:t xml:space="preserve">Συνήθως </w:t>
      </w:r>
      <w:r w:rsidRPr="00E75B0C">
        <w:rPr>
          <w:rFonts w:ascii="Verdana" w:hAnsi="Verdana"/>
          <w:sz w:val="18"/>
          <w:szCs w:val="18"/>
        </w:rPr>
        <w:t xml:space="preserve">6% επί της τιμής </w:t>
      </w:r>
      <w:r w:rsidR="00490400" w:rsidRPr="00E75B0C">
        <w:rPr>
          <w:rFonts w:ascii="Verdana" w:hAnsi="Verdana"/>
          <w:sz w:val="18"/>
          <w:szCs w:val="18"/>
        </w:rPr>
        <w:t>πώλησης</w:t>
      </w:r>
      <w:r w:rsidRPr="00E75B0C">
        <w:rPr>
          <w:rFonts w:ascii="Verdana" w:hAnsi="Verdana"/>
          <w:sz w:val="18"/>
          <w:szCs w:val="18"/>
        </w:rPr>
        <w:t>, συν ΦΠΑ. (Ενίοτε μπορεί να είναι 3%+ΦΠΑ.)</w:t>
      </w:r>
    </w:p>
    <w:p w:rsidR="002F6592" w:rsidRPr="00E75B0C" w:rsidRDefault="002F6592" w:rsidP="00374F80">
      <w:pPr>
        <w:pStyle w:val="a3"/>
        <w:numPr>
          <w:ilvl w:val="0"/>
          <w:numId w:val="3"/>
        </w:numPr>
        <w:spacing w:line="240" w:lineRule="auto"/>
        <w:rPr>
          <w:rFonts w:ascii="Verdana" w:hAnsi="Verdana"/>
          <w:sz w:val="18"/>
          <w:szCs w:val="18"/>
        </w:rPr>
      </w:pPr>
      <w:r w:rsidRPr="00E75B0C">
        <w:rPr>
          <w:rFonts w:ascii="Verdana" w:hAnsi="Verdana"/>
          <w:sz w:val="18"/>
          <w:szCs w:val="18"/>
        </w:rPr>
        <w:t xml:space="preserve">Δαπάνη εγγραφής στο Κτηματολόγιο: 0.2% ως 0.5% επί της τιμής </w:t>
      </w:r>
      <w:r w:rsidR="00490400" w:rsidRPr="00E75B0C">
        <w:rPr>
          <w:rFonts w:ascii="Verdana" w:hAnsi="Verdana"/>
          <w:sz w:val="18"/>
          <w:szCs w:val="18"/>
        </w:rPr>
        <w:t>πώλησης</w:t>
      </w:r>
      <w:r w:rsidRPr="00E75B0C">
        <w:rPr>
          <w:rFonts w:ascii="Verdana" w:hAnsi="Verdana"/>
          <w:sz w:val="18"/>
          <w:szCs w:val="18"/>
        </w:rPr>
        <w:t>.</w:t>
      </w:r>
    </w:p>
    <w:p w:rsidR="004D5D96" w:rsidRPr="00E75B0C" w:rsidRDefault="004D5D96" w:rsidP="004D5D96">
      <w:pPr>
        <w:spacing w:line="240" w:lineRule="auto"/>
        <w:rPr>
          <w:rFonts w:ascii="Verdana" w:hAnsi="Verdana"/>
          <w:sz w:val="18"/>
          <w:szCs w:val="18"/>
        </w:rPr>
      </w:pPr>
    </w:p>
    <w:p w:rsidR="004D5D96" w:rsidRPr="00E75B0C" w:rsidRDefault="002F6592" w:rsidP="004D5D96">
      <w:pPr>
        <w:spacing w:line="240" w:lineRule="auto"/>
        <w:rPr>
          <w:rFonts w:ascii="Verdana" w:hAnsi="Verdana"/>
          <w:b/>
          <w:sz w:val="18"/>
          <w:szCs w:val="18"/>
        </w:rPr>
      </w:pPr>
      <w:r w:rsidRPr="00E75B0C">
        <w:rPr>
          <w:rFonts w:ascii="Verdana" w:hAnsi="Verdana"/>
          <w:b/>
          <w:sz w:val="18"/>
          <w:szCs w:val="18"/>
        </w:rPr>
        <w:t>(Β) Φόροι κατοχής.</w:t>
      </w:r>
    </w:p>
    <w:p w:rsidR="00AC0D3B" w:rsidRPr="00E75B0C" w:rsidRDefault="002F6592" w:rsidP="004D5D96">
      <w:pPr>
        <w:spacing w:line="240" w:lineRule="auto"/>
        <w:rPr>
          <w:rFonts w:ascii="Verdana" w:hAnsi="Verdana"/>
          <w:sz w:val="18"/>
          <w:szCs w:val="18"/>
        </w:rPr>
      </w:pPr>
      <w:r w:rsidRPr="00E75B0C">
        <w:rPr>
          <w:rFonts w:ascii="Verdana" w:hAnsi="Verdana"/>
          <w:sz w:val="18"/>
          <w:szCs w:val="18"/>
        </w:rPr>
        <w:t>Υπάρχει φόρος κατοχής (</w:t>
      </w:r>
      <w:r w:rsidRPr="00E75B0C">
        <w:rPr>
          <w:rFonts w:ascii="Verdana" w:hAnsi="Verdana"/>
          <w:sz w:val="18"/>
          <w:szCs w:val="18"/>
          <w:lang w:val="en-US"/>
        </w:rPr>
        <w:t>g</w:t>
      </w:r>
      <w:proofErr w:type="spellStart"/>
      <w:r w:rsidRPr="00E75B0C">
        <w:rPr>
          <w:rFonts w:ascii="Verdana" w:hAnsi="Verdana"/>
          <w:sz w:val="18"/>
          <w:szCs w:val="18"/>
        </w:rPr>
        <w:t>rundsteuer</w:t>
      </w:r>
      <w:proofErr w:type="spellEnd"/>
      <w:r w:rsidRPr="00E75B0C">
        <w:rPr>
          <w:rFonts w:ascii="Verdana" w:hAnsi="Verdana"/>
          <w:sz w:val="18"/>
          <w:szCs w:val="18"/>
        </w:rPr>
        <w:t xml:space="preserve">). </w:t>
      </w:r>
      <w:r w:rsidR="00BB3D37" w:rsidRPr="00E75B0C">
        <w:rPr>
          <w:rFonts w:ascii="Verdana" w:hAnsi="Verdana"/>
          <w:sz w:val="18"/>
          <w:szCs w:val="18"/>
        </w:rPr>
        <w:t>Όπως</w:t>
      </w:r>
      <w:r w:rsidR="00A72430" w:rsidRPr="00E75B0C">
        <w:rPr>
          <w:rFonts w:ascii="Verdana" w:hAnsi="Verdana"/>
          <w:sz w:val="18"/>
          <w:szCs w:val="18"/>
        </w:rPr>
        <w:t xml:space="preserve"> στη Γαλλία, αυτός υπολογίζεται απ’ το κεντρικό κράτος (την Εφορία) βάσει της εκτιμωμένης αξίας του ακινήτου (συνήθως </w:t>
      </w:r>
      <w:r w:rsidR="00BB3D37" w:rsidRPr="00E75B0C">
        <w:rPr>
          <w:rFonts w:ascii="Verdana" w:hAnsi="Verdana"/>
          <w:sz w:val="18"/>
          <w:szCs w:val="18"/>
        </w:rPr>
        <w:t>χαμηλότερης</w:t>
      </w:r>
      <w:r w:rsidR="00A72430" w:rsidRPr="00E75B0C">
        <w:rPr>
          <w:rFonts w:ascii="Verdana" w:hAnsi="Verdana"/>
          <w:sz w:val="18"/>
          <w:szCs w:val="18"/>
        </w:rPr>
        <w:t xml:space="preserve"> έως πολύ </w:t>
      </w:r>
      <w:r w:rsidR="00BB3D37" w:rsidRPr="00E75B0C">
        <w:rPr>
          <w:rFonts w:ascii="Verdana" w:hAnsi="Verdana"/>
          <w:sz w:val="18"/>
          <w:szCs w:val="18"/>
        </w:rPr>
        <w:t>χαμηλότερης</w:t>
      </w:r>
      <w:r w:rsidR="00A72430" w:rsidRPr="00E75B0C">
        <w:rPr>
          <w:rFonts w:ascii="Verdana" w:hAnsi="Verdana"/>
          <w:sz w:val="18"/>
          <w:szCs w:val="18"/>
        </w:rPr>
        <w:t xml:space="preserve"> της αγοραίας του αξίας). </w:t>
      </w:r>
      <w:r w:rsidR="00AC0D3B" w:rsidRPr="00E75B0C">
        <w:rPr>
          <w:rFonts w:ascii="Verdana" w:hAnsi="Verdana"/>
          <w:sz w:val="18"/>
          <w:szCs w:val="18"/>
        </w:rPr>
        <w:t xml:space="preserve">Κατόπιν αποδίδεται στον αντίστοιχο δήμο. </w:t>
      </w:r>
    </w:p>
    <w:p w:rsidR="00AC0D3B" w:rsidRPr="00E75B0C" w:rsidRDefault="00AC0D3B" w:rsidP="004D5D96">
      <w:pPr>
        <w:spacing w:line="240" w:lineRule="auto"/>
        <w:rPr>
          <w:rFonts w:ascii="Verdana" w:hAnsi="Verdana"/>
          <w:sz w:val="18"/>
          <w:szCs w:val="18"/>
        </w:rPr>
      </w:pPr>
      <w:r w:rsidRPr="00E75B0C">
        <w:rPr>
          <w:rFonts w:ascii="Verdana" w:hAnsi="Verdana"/>
          <w:sz w:val="18"/>
          <w:szCs w:val="18"/>
        </w:rPr>
        <w:t xml:space="preserve">Για υπολογισμό του φόρου τα ακίνητα διαχωρίζονται σε τύπου Α (ακίνητα χρησιμοποιούμενα σε γεωργία και δασοκομία) και τύπου Β (οικοδομήσιμα ακίνητα ή ακίνητα μετά κτηρίων). Ο συντελεστής για τύπου Α είναι 0.6%. </w:t>
      </w:r>
    </w:p>
    <w:p w:rsidR="00335827" w:rsidRPr="00E75B0C" w:rsidRDefault="00AC0D3B" w:rsidP="004D5D96">
      <w:pPr>
        <w:spacing w:line="240" w:lineRule="auto"/>
        <w:rPr>
          <w:rFonts w:ascii="Verdana" w:hAnsi="Verdana"/>
          <w:sz w:val="18"/>
          <w:szCs w:val="18"/>
        </w:rPr>
      </w:pPr>
      <w:r w:rsidRPr="00E75B0C">
        <w:rPr>
          <w:rFonts w:ascii="Verdana" w:hAnsi="Verdana"/>
          <w:sz w:val="18"/>
          <w:szCs w:val="18"/>
        </w:rPr>
        <w:t>Ο</w:t>
      </w:r>
      <w:r w:rsidR="00A72430" w:rsidRPr="00E75B0C">
        <w:rPr>
          <w:rFonts w:ascii="Verdana" w:hAnsi="Verdana"/>
          <w:sz w:val="18"/>
          <w:szCs w:val="18"/>
        </w:rPr>
        <w:t xml:space="preserve">ι συντελεστές </w:t>
      </w:r>
      <w:r w:rsidRPr="00E75B0C">
        <w:rPr>
          <w:rFonts w:ascii="Verdana" w:hAnsi="Verdana"/>
          <w:sz w:val="18"/>
          <w:szCs w:val="18"/>
        </w:rPr>
        <w:t xml:space="preserve">για τύπου Β </w:t>
      </w:r>
      <w:r w:rsidR="00A72430" w:rsidRPr="00E75B0C">
        <w:rPr>
          <w:rFonts w:ascii="Verdana" w:hAnsi="Verdana"/>
          <w:sz w:val="18"/>
          <w:szCs w:val="18"/>
        </w:rPr>
        <w:t xml:space="preserve">ποικίλλουν από 0.26% (για ημι-μονοκατοικίες, δηλ. </w:t>
      </w:r>
      <w:r w:rsidR="00BB3D37" w:rsidRPr="00E75B0C">
        <w:rPr>
          <w:rFonts w:ascii="Verdana" w:hAnsi="Verdana"/>
          <w:sz w:val="18"/>
          <w:szCs w:val="18"/>
          <w:lang w:val="en-US"/>
        </w:rPr>
        <w:t>Semi</w:t>
      </w:r>
      <w:r w:rsidR="00BB3D37" w:rsidRPr="00E75B0C">
        <w:rPr>
          <w:rFonts w:ascii="Verdana" w:hAnsi="Verdana"/>
          <w:sz w:val="18"/>
          <w:szCs w:val="18"/>
        </w:rPr>
        <w:t>-</w:t>
      </w:r>
      <w:r w:rsidR="00BB3D37" w:rsidRPr="00E75B0C">
        <w:rPr>
          <w:rFonts w:ascii="Verdana" w:hAnsi="Verdana"/>
          <w:sz w:val="18"/>
          <w:szCs w:val="18"/>
          <w:lang w:val="en-US"/>
        </w:rPr>
        <w:t>detached</w:t>
      </w:r>
      <w:r w:rsidR="00A72430" w:rsidRPr="00E75B0C">
        <w:rPr>
          <w:rFonts w:ascii="Verdana" w:hAnsi="Verdana"/>
          <w:sz w:val="18"/>
          <w:szCs w:val="18"/>
        </w:rPr>
        <w:t xml:space="preserve"> </w:t>
      </w:r>
      <w:r w:rsidR="00A72430" w:rsidRPr="00E75B0C">
        <w:rPr>
          <w:rFonts w:ascii="Verdana" w:hAnsi="Verdana"/>
          <w:sz w:val="18"/>
          <w:szCs w:val="18"/>
          <w:lang w:val="en-US"/>
        </w:rPr>
        <w:t>houses</w:t>
      </w:r>
      <w:r w:rsidR="00A72430" w:rsidRPr="00E75B0C">
        <w:rPr>
          <w:rFonts w:ascii="Verdana" w:hAnsi="Verdana"/>
          <w:sz w:val="18"/>
          <w:szCs w:val="18"/>
        </w:rPr>
        <w:t xml:space="preserve"> αξίας έως 60Κ) ως 0.35% (για όλ</w:t>
      </w:r>
      <w:r w:rsidR="00335827" w:rsidRPr="00E75B0C">
        <w:rPr>
          <w:rFonts w:ascii="Verdana" w:hAnsi="Verdana"/>
          <w:sz w:val="18"/>
          <w:szCs w:val="18"/>
        </w:rPr>
        <w:t xml:space="preserve">α τα άλλα είδη ακινήτων). </w:t>
      </w:r>
    </w:p>
    <w:p w:rsidR="002F6592" w:rsidRPr="00E75B0C" w:rsidRDefault="00335827" w:rsidP="004D5D96">
      <w:pPr>
        <w:spacing w:line="240" w:lineRule="auto"/>
        <w:rPr>
          <w:rFonts w:ascii="Verdana" w:hAnsi="Verdana"/>
          <w:sz w:val="18"/>
          <w:szCs w:val="18"/>
        </w:rPr>
      </w:pPr>
      <w:r w:rsidRPr="00E75B0C">
        <w:rPr>
          <w:rFonts w:ascii="Verdana" w:hAnsi="Verdana"/>
          <w:sz w:val="18"/>
          <w:szCs w:val="18"/>
        </w:rPr>
        <w:t>Ο</w:t>
      </w:r>
      <w:r w:rsidR="00A72430" w:rsidRPr="00E75B0C">
        <w:rPr>
          <w:rFonts w:ascii="Verdana" w:hAnsi="Verdana"/>
          <w:sz w:val="18"/>
          <w:szCs w:val="18"/>
        </w:rPr>
        <w:t xml:space="preserve"> τελικός φόρος προκύπτε</w:t>
      </w:r>
      <w:r w:rsidRPr="00E75B0C">
        <w:rPr>
          <w:rFonts w:ascii="Verdana" w:hAnsi="Verdana"/>
          <w:sz w:val="18"/>
          <w:szCs w:val="18"/>
        </w:rPr>
        <w:t>ι από πολλαπλασιασμό του</w:t>
      </w:r>
      <w:r w:rsidR="00A72430" w:rsidRPr="00E75B0C">
        <w:rPr>
          <w:rFonts w:ascii="Verdana" w:hAnsi="Verdana"/>
          <w:sz w:val="18"/>
          <w:szCs w:val="18"/>
        </w:rPr>
        <w:t xml:space="preserve"> ποσού</w:t>
      </w:r>
      <w:r w:rsidRPr="00E75B0C">
        <w:rPr>
          <w:rFonts w:ascii="Verdana" w:hAnsi="Verdana"/>
          <w:sz w:val="18"/>
          <w:szCs w:val="18"/>
        </w:rPr>
        <w:t>, που προκύπτει βάσει των ανωτέρω συντελεστών,</w:t>
      </w:r>
      <w:r w:rsidR="00A72430" w:rsidRPr="00E75B0C">
        <w:rPr>
          <w:rFonts w:ascii="Verdana" w:hAnsi="Verdana"/>
          <w:sz w:val="18"/>
          <w:szCs w:val="18"/>
        </w:rPr>
        <w:t xml:space="preserve"> με έναν «πολλαπλασιαστή», που καθορίζει η δημοτική αρχή. </w:t>
      </w:r>
    </w:p>
    <w:p w:rsidR="008F0153" w:rsidRPr="00E75B0C" w:rsidRDefault="00AC0D3B" w:rsidP="004D5D96">
      <w:pPr>
        <w:spacing w:line="240" w:lineRule="auto"/>
        <w:rPr>
          <w:rFonts w:ascii="Verdana" w:hAnsi="Verdana"/>
          <w:sz w:val="18"/>
          <w:szCs w:val="18"/>
        </w:rPr>
      </w:pPr>
      <w:r w:rsidRPr="00E75B0C">
        <w:rPr>
          <w:rFonts w:ascii="Verdana" w:hAnsi="Verdana"/>
          <w:sz w:val="18"/>
          <w:szCs w:val="18"/>
        </w:rPr>
        <w:t xml:space="preserve">Π.χ., αξία ακινήτου </w:t>
      </w:r>
      <w:r w:rsidR="00335827" w:rsidRPr="00E75B0C">
        <w:rPr>
          <w:rFonts w:ascii="Verdana" w:hAnsi="Verdana"/>
          <w:sz w:val="18"/>
          <w:szCs w:val="18"/>
        </w:rPr>
        <w:t>€</w:t>
      </w:r>
      <w:r w:rsidRPr="00E75B0C">
        <w:rPr>
          <w:rFonts w:ascii="Verdana" w:hAnsi="Verdana"/>
          <w:sz w:val="18"/>
          <w:szCs w:val="18"/>
        </w:rPr>
        <w:t xml:space="preserve">1,000,000. Συντελεστής, 0.35%, άρα κατ’ αρχήν φόρος, </w:t>
      </w:r>
      <w:r w:rsidR="00335827" w:rsidRPr="00E75B0C">
        <w:rPr>
          <w:rFonts w:ascii="Verdana" w:hAnsi="Verdana"/>
          <w:sz w:val="18"/>
          <w:szCs w:val="18"/>
        </w:rPr>
        <w:t>€</w:t>
      </w:r>
      <w:r w:rsidRPr="00E75B0C">
        <w:rPr>
          <w:rFonts w:ascii="Verdana" w:hAnsi="Verdana"/>
          <w:sz w:val="18"/>
          <w:szCs w:val="18"/>
        </w:rPr>
        <w:t>3,500. Αν ο «πολλαπλα</w:t>
      </w:r>
      <w:r w:rsidR="00C80262" w:rsidRPr="00E75B0C">
        <w:rPr>
          <w:rFonts w:ascii="Verdana" w:hAnsi="Verdana"/>
          <w:sz w:val="18"/>
          <w:szCs w:val="18"/>
        </w:rPr>
        <w:t>σιαστής», που εφαρμόζει ο δήμος</w:t>
      </w:r>
      <w:r w:rsidRPr="00E75B0C">
        <w:rPr>
          <w:rFonts w:ascii="Verdana" w:hAnsi="Verdana"/>
          <w:sz w:val="18"/>
          <w:szCs w:val="18"/>
        </w:rPr>
        <w:t xml:space="preserve"> στον οπο</w:t>
      </w:r>
      <w:r w:rsidR="00C80262" w:rsidRPr="00E75B0C">
        <w:rPr>
          <w:rFonts w:ascii="Verdana" w:hAnsi="Verdana"/>
          <w:sz w:val="18"/>
          <w:szCs w:val="18"/>
        </w:rPr>
        <w:t xml:space="preserve">ίον </w:t>
      </w:r>
      <w:r w:rsidR="005E32C6">
        <w:rPr>
          <w:rFonts w:ascii="Verdana" w:hAnsi="Verdana"/>
          <w:sz w:val="18"/>
          <w:szCs w:val="18"/>
        </w:rPr>
        <w:t>βρίσκεται</w:t>
      </w:r>
      <w:r w:rsidR="00C80262" w:rsidRPr="00E75B0C">
        <w:rPr>
          <w:rFonts w:ascii="Verdana" w:hAnsi="Verdana"/>
          <w:sz w:val="18"/>
          <w:szCs w:val="18"/>
        </w:rPr>
        <w:t xml:space="preserve"> το ακίνητο,</w:t>
      </w:r>
      <w:r w:rsidR="005E32C6">
        <w:rPr>
          <w:rFonts w:ascii="Verdana" w:hAnsi="Verdana"/>
          <w:sz w:val="18"/>
          <w:szCs w:val="18"/>
        </w:rPr>
        <w:t xml:space="preserve"> </w:t>
      </w:r>
      <w:r w:rsidRPr="00E75B0C">
        <w:rPr>
          <w:rFonts w:ascii="Verdana" w:hAnsi="Verdana"/>
          <w:sz w:val="18"/>
          <w:szCs w:val="18"/>
        </w:rPr>
        <w:t xml:space="preserve">είναι, λ.χ., 4.2, τελικός φόρος = 4.2 Χ </w:t>
      </w:r>
      <w:r w:rsidR="00335827" w:rsidRPr="00E75B0C">
        <w:rPr>
          <w:rFonts w:ascii="Verdana" w:hAnsi="Verdana"/>
          <w:sz w:val="18"/>
          <w:szCs w:val="18"/>
        </w:rPr>
        <w:t>€</w:t>
      </w:r>
      <w:r w:rsidRPr="00E75B0C">
        <w:rPr>
          <w:rFonts w:ascii="Verdana" w:hAnsi="Verdana"/>
          <w:sz w:val="18"/>
          <w:szCs w:val="18"/>
        </w:rPr>
        <w:t xml:space="preserve">3,500 = </w:t>
      </w:r>
      <w:r w:rsidR="00335827" w:rsidRPr="00E75B0C">
        <w:rPr>
          <w:rFonts w:ascii="Verdana" w:hAnsi="Verdana"/>
          <w:sz w:val="18"/>
          <w:szCs w:val="18"/>
        </w:rPr>
        <w:t>€</w:t>
      </w:r>
      <w:r w:rsidRPr="00E75B0C">
        <w:rPr>
          <w:rFonts w:ascii="Verdana" w:hAnsi="Verdana"/>
          <w:sz w:val="18"/>
          <w:szCs w:val="18"/>
        </w:rPr>
        <w:t xml:space="preserve">14,700. </w:t>
      </w:r>
    </w:p>
    <w:p w:rsidR="00AC0D3B" w:rsidRPr="00E75B0C" w:rsidRDefault="00AC0D3B" w:rsidP="004D5D96">
      <w:pPr>
        <w:spacing w:line="240" w:lineRule="auto"/>
        <w:rPr>
          <w:rFonts w:ascii="Verdana" w:hAnsi="Verdana"/>
          <w:sz w:val="18"/>
          <w:szCs w:val="18"/>
        </w:rPr>
      </w:pPr>
      <w:r w:rsidRPr="00E75B0C">
        <w:rPr>
          <w:rFonts w:ascii="Verdana" w:hAnsi="Verdana"/>
          <w:sz w:val="18"/>
          <w:szCs w:val="18"/>
        </w:rPr>
        <w:t xml:space="preserve">Οι δημοτικοί πολλαπλασιαστές ποικίλλουν από 2.8 ως 8.1. </w:t>
      </w:r>
    </w:p>
    <w:p w:rsidR="00335827" w:rsidRPr="00E75B0C" w:rsidRDefault="00335827" w:rsidP="004D5D96">
      <w:pPr>
        <w:spacing w:line="240" w:lineRule="auto"/>
        <w:rPr>
          <w:rFonts w:ascii="Verdana" w:hAnsi="Verdana"/>
          <w:sz w:val="18"/>
          <w:szCs w:val="18"/>
        </w:rPr>
      </w:pPr>
      <w:r w:rsidRPr="00E75B0C">
        <w:rPr>
          <w:rFonts w:ascii="Verdana" w:hAnsi="Verdana"/>
          <w:sz w:val="18"/>
          <w:szCs w:val="18"/>
        </w:rPr>
        <w:t xml:space="preserve">Αξίζει να σημειωθεί πως ο φόρος κατοχής εκπίπτει απ’ το φορολογητέο εισόδημα αν το ακίνητο </w:t>
      </w:r>
      <w:r w:rsidR="00BB3D37" w:rsidRPr="00E75B0C">
        <w:rPr>
          <w:rFonts w:ascii="Verdana" w:hAnsi="Verdana"/>
          <w:sz w:val="18"/>
          <w:szCs w:val="18"/>
        </w:rPr>
        <w:t>χρησιμοποιείται</w:t>
      </w:r>
      <w:r w:rsidRPr="00E75B0C">
        <w:rPr>
          <w:rFonts w:ascii="Verdana" w:hAnsi="Verdana"/>
          <w:sz w:val="18"/>
          <w:szCs w:val="18"/>
        </w:rPr>
        <w:t xml:space="preserve"> για εμπορικούς ή επιχειρηματικούς σκοπούς. </w:t>
      </w:r>
    </w:p>
    <w:p w:rsidR="00335827" w:rsidRPr="00E75B0C" w:rsidRDefault="00335827" w:rsidP="004D5D96">
      <w:pPr>
        <w:spacing w:line="240" w:lineRule="auto"/>
        <w:rPr>
          <w:rFonts w:ascii="Verdana" w:hAnsi="Verdana"/>
          <w:sz w:val="18"/>
          <w:szCs w:val="18"/>
        </w:rPr>
      </w:pPr>
    </w:p>
    <w:p w:rsidR="008F0153" w:rsidRPr="00E75B0C" w:rsidRDefault="008F0153" w:rsidP="004D5D96">
      <w:pPr>
        <w:spacing w:line="240" w:lineRule="auto"/>
        <w:rPr>
          <w:rFonts w:ascii="Verdana" w:hAnsi="Verdana"/>
          <w:b/>
          <w:sz w:val="18"/>
          <w:szCs w:val="18"/>
        </w:rPr>
      </w:pPr>
      <w:r w:rsidRPr="00E75B0C">
        <w:rPr>
          <w:rFonts w:ascii="Verdana" w:hAnsi="Verdana"/>
          <w:b/>
          <w:sz w:val="18"/>
          <w:szCs w:val="18"/>
        </w:rPr>
        <w:t>(Γ) Φόρος περιουσίας.</w:t>
      </w:r>
    </w:p>
    <w:p w:rsidR="008F0153" w:rsidRPr="00E75B0C" w:rsidRDefault="008F0153" w:rsidP="004D5D96">
      <w:pPr>
        <w:spacing w:line="240" w:lineRule="auto"/>
        <w:rPr>
          <w:rFonts w:ascii="Verdana" w:hAnsi="Verdana"/>
          <w:sz w:val="18"/>
          <w:szCs w:val="18"/>
          <w:lang w:val="en-US"/>
        </w:rPr>
      </w:pPr>
      <w:r w:rsidRPr="00E75B0C">
        <w:rPr>
          <w:rFonts w:ascii="Verdana" w:hAnsi="Verdana"/>
          <w:sz w:val="18"/>
          <w:szCs w:val="18"/>
        </w:rPr>
        <w:t>Δεν υπάρχει.</w:t>
      </w:r>
      <w:r w:rsidR="00B23B84" w:rsidRPr="00E75B0C">
        <w:rPr>
          <w:rFonts w:ascii="Verdana" w:hAnsi="Verdana"/>
          <w:sz w:val="18"/>
          <w:szCs w:val="18"/>
        </w:rPr>
        <w:t xml:space="preserve"> Υπήρχε, αλλά </w:t>
      </w:r>
      <w:r w:rsidR="00C80262" w:rsidRPr="00E75B0C">
        <w:rPr>
          <w:rFonts w:ascii="Verdana" w:hAnsi="Verdana"/>
          <w:sz w:val="18"/>
          <w:szCs w:val="18"/>
        </w:rPr>
        <w:t>καταργήθηκε</w:t>
      </w:r>
      <w:r w:rsidR="00B23B84" w:rsidRPr="00E75B0C">
        <w:rPr>
          <w:rFonts w:ascii="Verdana" w:hAnsi="Verdana"/>
          <w:sz w:val="18"/>
          <w:szCs w:val="18"/>
        </w:rPr>
        <w:t xml:space="preserve"> το 1997. Γίνεται μί</w:t>
      </w:r>
      <w:r w:rsidR="00C80262" w:rsidRPr="00E75B0C">
        <w:rPr>
          <w:rFonts w:ascii="Verdana" w:hAnsi="Verdana"/>
          <w:sz w:val="18"/>
          <w:szCs w:val="18"/>
        </w:rPr>
        <w:t>α συζήτηση στη</w:t>
      </w:r>
      <w:r w:rsidR="00BB3D37" w:rsidRPr="00E75B0C">
        <w:rPr>
          <w:rFonts w:ascii="Verdana" w:hAnsi="Verdana"/>
          <w:sz w:val="18"/>
          <w:szCs w:val="18"/>
        </w:rPr>
        <w:t xml:space="preserve"> Γερμανία για εκ νέου επιβολή του, αλλά</w:t>
      </w:r>
      <w:r w:rsidR="00C80262" w:rsidRPr="00E75B0C">
        <w:rPr>
          <w:rFonts w:ascii="Verdana" w:hAnsi="Verdana"/>
          <w:sz w:val="18"/>
          <w:szCs w:val="18"/>
        </w:rPr>
        <w:t xml:space="preserve"> αυτή η συζήτηση, παρ</w:t>
      </w:r>
      <w:r w:rsidR="00B23B84" w:rsidRPr="00E75B0C">
        <w:rPr>
          <w:rFonts w:ascii="Verdana" w:hAnsi="Verdana"/>
          <w:sz w:val="18"/>
          <w:szCs w:val="18"/>
        </w:rPr>
        <w:t xml:space="preserve">ότι αφορά και την Γερμανία, τείνει να επικεντρώνεται στην «ανάγκη» επιβολής </w:t>
      </w:r>
      <w:r w:rsidR="00BB3D37" w:rsidRPr="00E75B0C">
        <w:rPr>
          <w:rFonts w:ascii="Verdana" w:hAnsi="Verdana"/>
          <w:sz w:val="18"/>
          <w:szCs w:val="18"/>
        </w:rPr>
        <w:t xml:space="preserve">φόρου περιουσίας στα «πλούσια» </w:t>
      </w:r>
      <w:r w:rsidR="00B23B84" w:rsidRPr="00E75B0C">
        <w:rPr>
          <w:rFonts w:ascii="Verdana" w:hAnsi="Verdana"/>
          <w:sz w:val="18"/>
          <w:szCs w:val="18"/>
        </w:rPr>
        <w:t xml:space="preserve">νοικοκυριά των «υπερχρεωμένων» ευρωπαϊκών χωρών (κατ’ </w:t>
      </w:r>
      <w:r w:rsidR="00BB3D37" w:rsidRPr="00E75B0C">
        <w:rPr>
          <w:rFonts w:ascii="Verdana" w:hAnsi="Verdana"/>
          <w:sz w:val="18"/>
          <w:szCs w:val="18"/>
        </w:rPr>
        <w:t>ουσία</w:t>
      </w:r>
      <w:r w:rsidR="00B23B84" w:rsidRPr="00E75B0C">
        <w:rPr>
          <w:rFonts w:ascii="Verdana" w:hAnsi="Verdana"/>
          <w:sz w:val="18"/>
          <w:szCs w:val="18"/>
        </w:rPr>
        <w:t>,</w:t>
      </w:r>
      <w:r w:rsidR="00BB3D37" w:rsidRPr="00E75B0C">
        <w:rPr>
          <w:rFonts w:ascii="Verdana" w:hAnsi="Verdana"/>
          <w:sz w:val="18"/>
          <w:szCs w:val="18"/>
        </w:rPr>
        <w:t xml:space="preserve"> </w:t>
      </w:r>
      <w:r w:rsidR="00B23B84" w:rsidRPr="00E75B0C">
        <w:rPr>
          <w:rFonts w:ascii="Verdana" w:hAnsi="Verdana"/>
          <w:sz w:val="18"/>
          <w:szCs w:val="18"/>
        </w:rPr>
        <w:t>του Νότου). Βλ</w:t>
      </w:r>
      <w:r w:rsidR="00B23B84" w:rsidRPr="00E75B0C">
        <w:rPr>
          <w:rFonts w:ascii="Verdana" w:hAnsi="Verdana"/>
          <w:sz w:val="18"/>
          <w:szCs w:val="18"/>
          <w:lang w:val="en-US"/>
        </w:rPr>
        <w:t xml:space="preserve">. </w:t>
      </w:r>
      <w:r w:rsidR="00B23B84" w:rsidRPr="00E75B0C">
        <w:rPr>
          <w:rFonts w:ascii="Verdana" w:hAnsi="Verdana"/>
          <w:i/>
          <w:sz w:val="18"/>
          <w:szCs w:val="18"/>
          <w:lang w:val="en-US"/>
        </w:rPr>
        <w:t>Financial Times</w:t>
      </w:r>
      <w:r w:rsidR="00B23B84" w:rsidRPr="00E75B0C">
        <w:rPr>
          <w:rFonts w:ascii="Verdana" w:hAnsi="Verdana"/>
          <w:sz w:val="18"/>
          <w:szCs w:val="18"/>
          <w:lang w:val="en-US"/>
        </w:rPr>
        <w:t>, 27.1.2014: “</w:t>
      </w:r>
      <w:r w:rsidR="00B23B84" w:rsidRPr="00E75B0C">
        <w:rPr>
          <w:rFonts w:ascii="Verdana" w:hAnsi="Verdana" w:cs="Arial"/>
          <w:sz w:val="18"/>
          <w:szCs w:val="18"/>
          <w:lang w:val="en-US"/>
        </w:rPr>
        <w:t>Bundesbank proposes wealth tax for EU states facing bankruptcy”.</w:t>
      </w:r>
    </w:p>
    <w:p w:rsidR="008F0153" w:rsidRPr="00E75B0C" w:rsidRDefault="008F0153" w:rsidP="004D5D96">
      <w:pPr>
        <w:spacing w:line="240" w:lineRule="auto"/>
        <w:rPr>
          <w:rFonts w:ascii="Verdana" w:hAnsi="Verdana"/>
          <w:sz w:val="18"/>
          <w:szCs w:val="18"/>
          <w:lang w:val="en-US"/>
        </w:rPr>
      </w:pPr>
    </w:p>
    <w:p w:rsidR="008F0153" w:rsidRPr="00E75B0C" w:rsidRDefault="008F0153" w:rsidP="004D5D96">
      <w:pPr>
        <w:spacing w:line="240" w:lineRule="auto"/>
        <w:rPr>
          <w:rFonts w:ascii="Verdana" w:hAnsi="Verdana"/>
          <w:b/>
          <w:sz w:val="18"/>
          <w:szCs w:val="18"/>
        </w:rPr>
      </w:pPr>
      <w:r w:rsidRPr="00E75B0C">
        <w:rPr>
          <w:rFonts w:ascii="Verdana" w:hAnsi="Verdana"/>
          <w:b/>
          <w:sz w:val="18"/>
          <w:szCs w:val="18"/>
        </w:rPr>
        <w:t>(Δ) Φόρος υπεραξίας.</w:t>
      </w:r>
    </w:p>
    <w:p w:rsidR="008F0153" w:rsidRPr="00E75B0C" w:rsidRDefault="00911661" w:rsidP="004D5D96">
      <w:pPr>
        <w:spacing w:line="240" w:lineRule="auto"/>
        <w:rPr>
          <w:rFonts w:ascii="Verdana" w:hAnsi="Verdana"/>
          <w:sz w:val="18"/>
          <w:szCs w:val="18"/>
        </w:rPr>
      </w:pPr>
      <w:r w:rsidRPr="00E75B0C">
        <w:rPr>
          <w:rFonts w:ascii="Verdana" w:hAnsi="Verdana"/>
          <w:sz w:val="18"/>
          <w:szCs w:val="18"/>
        </w:rPr>
        <w:t xml:space="preserve">Δεν υπάρχει ως τέτοιος, </w:t>
      </w:r>
      <w:r w:rsidR="00C80262" w:rsidRPr="00E75B0C">
        <w:rPr>
          <w:rFonts w:ascii="Verdana" w:hAnsi="Verdana"/>
          <w:sz w:val="18"/>
          <w:szCs w:val="18"/>
        </w:rPr>
        <w:t>όμως,</w:t>
      </w:r>
      <w:r w:rsidRPr="00E75B0C">
        <w:rPr>
          <w:rFonts w:ascii="Verdana" w:hAnsi="Verdana"/>
          <w:sz w:val="18"/>
          <w:szCs w:val="18"/>
        </w:rPr>
        <w:t xml:space="preserve"> η υπεραξία απ’ την </w:t>
      </w:r>
      <w:r w:rsidR="00BB3D37" w:rsidRPr="00E75B0C">
        <w:rPr>
          <w:rFonts w:ascii="Verdana" w:hAnsi="Verdana"/>
          <w:sz w:val="18"/>
          <w:szCs w:val="18"/>
        </w:rPr>
        <w:t>πώληση</w:t>
      </w:r>
      <w:r w:rsidRPr="00E75B0C">
        <w:rPr>
          <w:rFonts w:ascii="Verdana" w:hAnsi="Verdana"/>
          <w:sz w:val="18"/>
          <w:szCs w:val="18"/>
        </w:rPr>
        <w:t xml:space="preserve"> ακινήτου υπόκειται</w:t>
      </w:r>
      <w:r w:rsidR="00C80262" w:rsidRPr="00E75B0C">
        <w:rPr>
          <w:rFonts w:ascii="Verdana" w:hAnsi="Verdana"/>
          <w:sz w:val="18"/>
          <w:szCs w:val="18"/>
        </w:rPr>
        <w:t xml:space="preserve"> σε φόρο εισοδήματος, που με τη</w:t>
      </w:r>
      <w:r w:rsidRPr="00E75B0C">
        <w:rPr>
          <w:rFonts w:ascii="Verdana" w:hAnsi="Verdana"/>
          <w:sz w:val="18"/>
          <w:szCs w:val="18"/>
        </w:rPr>
        <w:t xml:space="preserve"> σειρά του ΔΕΝ επιβάλλεται αν το ακίνητο έχει διακρατηθ</w:t>
      </w:r>
      <w:r w:rsidR="00BB3D37" w:rsidRPr="00E75B0C">
        <w:rPr>
          <w:rFonts w:ascii="Verdana" w:hAnsi="Verdana"/>
          <w:sz w:val="18"/>
          <w:szCs w:val="18"/>
        </w:rPr>
        <w:t>εί</w:t>
      </w:r>
      <w:r w:rsidRPr="00E75B0C">
        <w:rPr>
          <w:rFonts w:ascii="Verdana" w:hAnsi="Verdana"/>
          <w:sz w:val="18"/>
          <w:szCs w:val="18"/>
        </w:rPr>
        <w:t xml:space="preserve"> για τουλάχιστον 10 έτη κι ο πωλητής είναι απλός ιδιώτης (δηλ. δεν είναι κάποιος που έχει ως επάγγελμα την αγοραπωλησία ακινήτων). </w:t>
      </w:r>
    </w:p>
    <w:p w:rsidR="001D4E15" w:rsidRPr="00E75B0C" w:rsidRDefault="001D4E15" w:rsidP="004D5D96">
      <w:pPr>
        <w:spacing w:line="240" w:lineRule="auto"/>
        <w:rPr>
          <w:rFonts w:ascii="Verdana" w:hAnsi="Verdana"/>
          <w:sz w:val="18"/>
          <w:szCs w:val="18"/>
        </w:rPr>
      </w:pPr>
    </w:p>
    <w:p w:rsidR="001D4E15" w:rsidRPr="005E32C6" w:rsidRDefault="00A53D23" w:rsidP="005E32C6">
      <w:pPr>
        <w:rPr>
          <w:rFonts w:ascii="Verdana" w:hAnsi="Verdana"/>
          <w:b/>
          <w:sz w:val="20"/>
          <w:szCs w:val="18"/>
        </w:rPr>
      </w:pPr>
      <w:r w:rsidRPr="00E75B0C">
        <w:rPr>
          <w:rFonts w:ascii="Verdana" w:hAnsi="Verdana"/>
          <w:sz w:val="18"/>
          <w:szCs w:val="18"/>
        </w:rPr>
        <w:br w:type="page"/>
      </w:r>
      <w:r w:rsidR="001D4E15" w:rsidRPr="005E32C6">
        <w:rPr>
          <w:rFonts w:ascii="Verdana" w:hAnsi="Verdana"/>
          <w:b/>
          <w:sz w:val="20"/>
          <w:szCs w:val="18"/>
        </w:rPr>
        <w:lastRenderedPageBreak/>
        <w:t>Ηνωμένο Βασίλειο</w:t>
      </w:r>
    </w:p>
    <w:p w:rsidR="001D4E15" w:rsidRPr="005E32C6" w:rsidRDefault="001D4E15" w:rsidP="004D5D96">
      <w:pPr>
        <w:spacing w:line="240" w:lineRule="auto"/>
        <w:rPr>
          <w:rFonts w:ascii="Verdana" w:hAnsi="Verdana"/>
          <w:b/>
          <w:sz w:val="20"/>
          <w:szCs w:val="18"/>
        </w:rPr>
      </w:pPr>
    </w:p>
    <w:p w:rsidR="001D4E15" w:rsidRPr="00E75B0C" w:rsidRDefault="001D4E15" w:rsidP="004D5D96">
      <w:pPr>
        <w:spacing w:line="240" w:lineRule="auto"/>
        <w:rPr>
          <w:rFonts w:ascii="Verdana" w:hAnsi="Verdana"/>
          <w:b/>
          <w:sz w:val="18"/>
          <w:szCs w:val="18"/>
        </w:rPr>
      </w:pPr>
      <w:r w:rsidRPr="00E75B0C">
        <w:rPr>
          <w:rFonts w:ascii="Verdana" w:hAnsi="Verdana"/>
          <w:b/>
          <w:sz w:val="18"/>
          <w:szCs w:val="18"/>
        </w:rPr>
        <w:t xml:space="preserve">(Α) Φόρος </w:t>
      </w:r>
      <w:r w:rsidR="00B672FE" w:rsidRPr="00E75B0C">
        <w:rPr>
          <w:rFonts w:ascii="Verdana" w:hAnsi="Verdana"/>
          <w:b/>
          <w:sz w:val="18"/>
          <w:szCs w:val="18"/>
        </w:rPr>
        <w:t>μεταβίβασης</w:t>
      </w:r>
      <w:r w:rsidRPr="00E75B0C">
        <w:rPr>
          <w:rFonts w:ascii="Verdana" w:hAnsi="Verdana"/>
          <w:b/>
          <w:sz w:val="18"/>
          <w:szCs w:val="18"/>
        </w:rPr>
        <w:t>.</w:t>
      </w:r>
    </w:p>
    <w:p w:rsidR="001D4E15" w:rsidRPr="00E75B0C" w:rsidRDefault="006779B9" w:rsidP="004D5D96">
      <w:pPr>
        <w:spacing w:line="240" w:lineRule="auto"/>
        <w:rPr>
          <w:rFonts w:ascii="Verdana" w:hAnsi="Verdana"/>
          <w:sz w:val="18"/>
          <w:szCs w:val="18"/>
        </w:rPr>
      </w:pPr>
      <w:r w:rsidRPr="00E75B0C">
        <w:rPr>
          <w:rFonts w:ascii="Verdana" w:hAnsi="Verdana"/>
          <w:sz w:val="18"/>
          <w:szCs w:val="18"/>
        </w:rPr>
        <w:t xml:space="preserve">Η μεταβίβαση ακινήτου (ή δικαιώματος σε ακίνητο) υπόκειται σε </w:t>
      </w:r>
      <w:r w:rsidRPr="00E75B0C">
        <w:rPr>
          <w:rFonts w:ascii="Verdana" w:hAnsi="Verdana"/>
          <w:sz w:val="18"/>
          <w:szCs w:val="18"/>
          <w:lang w:val="en-US"/>
        </w:rPr>
        <w:t>Stamp</w:t>
      </w:r>
      <w:r w:rsidRPr="00E75B0C">
        <w:rPr>
          <w:rFonts w:ascii="Verdana" w:hAnsi="Verdana"/>
          <w:sz w:val="18"/>
          <w:szCs w:val="18"/>
        </w:rPr>
        <w:t xml:space="preserve"> </w:t>
      </w:r>
      <w:r w:rsidRPr="00E75B0C">
        <w:rPr>
          <w:rFonts w:ascii="Verdana" w:hAnsi="Verdana"/>
          <w:sz w:val="18"/>
          <w:szCs w:val="18"/>
          <w:lang w:val="en-US"/>
        </w:rPr>
        <w:t>Duty</w:t>
      </w:r>
      <w:r w:rsidRPr="00E75B0C">
        <w:rPr>
          <w:rFonts w:ascii="Verdana" w:hAnsi="Verdana"/>
          <w:sz w:val="18"/>
          <w:szCs w:val="18"/>
        </w:rPr>
        <w:t xml:space="preserve"> </w:t>
      </w:r>
      <w:r w:rsidRPr="00E75B0C">
        <w:rPr>
          <w:rFonts w:ascii="Verdana" w:hAnsi="Verdana"/>
          <w:sz w:val="18"/>
          <w:szCs w:val="18"/>
          <w:lang w:val="en-US"/>
        </w:rPr>
        <w:t>Land</w:t>
      </w:r>
      <w:r w:rsidRPr="00E75B0C">
        <w:rPr>
          <w:rFonts w:ascii="Verdana" w:hAnsi="Verdana"/>
          <w:sz w:val="18"/>
          <w:szCs w:val="18"/>
        </w:rPr>
        <w:t xml:space="preserve"> </w:t>
      </w:r>
      <w:r w:rsidRPr="00E75B0C">
        <w:rPr>
          <w:rFonts w:ascii="Verdana" w:hAnsi="Verdana"/>
          <w:sz w:val="18"/>
          <w:szCs w:val="18"/>
          <w:lang w:val="en-US"/>
        </w:rPr>
        <w:t>Tax</w:t>
      </w:r>
      <w:r w:rsidRPr="00E75B0C">
        <w:rPr>
          <w:rFonts w:ascii="Verdana" w:hAnsi="Verdana"/>
          <w:sz w:val="18"/>
          <w:szCs w:val="18"/>
        </w:rPr>
        <w:t xml:space="preserve"> (</w:t>
      </w:r>
      <w:r w:rsidRPr="00E75B0C">
        <w:rPr>
          <w:rFonts w:ascii="Verdana" w:hAnsi="Verdana"/>
          <w:sz w:val="18"/>
          <w:szCs w:val="18"/>
          <w:lang w:val="en-US"/>
        </w:rPr>
        <w:t>SDLT</w:t>
      </w:r>
      <w:r w:rsidRPr="00E75B0C">
        <w:rPr>
          <w:rFonts w:ascii="Verdana" w:hAnsi="Verdana"/>
          <w:sz w:val="18"/>
          <w:szCs w:val="18"/>
        </w:rPr>
        <w:t xml:space="preserve">). </w:t>
      </w:r>
      <w:r w:rsidR="00E57C3D" w:rsidRPr="00E75B0C">
        <w:rPr>
          <w:rFonts w:ascii="Verdana" w:hAnsi="Verdana"/>
          <w:sz w:val="18"/>
          <w:szCs w:val="18"/>
        </w:rPr>
        <w:t xml:space="preserve">Διαφορετικοί κανόνες εφαρμόζονται για τον υπολογισμό του </w:t>
      </w:r>
      <w:r w:rsidR="00E57C3D" w:rsidRPr="00E75B0C">
        <w:rPr>
          <w:rFonts w:ascii="Verdana" w:hAnsi="Verdana"/>
          <w:sz w:val="18"/>
          <w:szCs w:val="18"/>
          <w:lang w:val="en-US"/>
        </w:rPr>
        <w:t>SDLT</w:t>
      </w:r>
      <w:r w:rsidR="00E57C3D" w:rsidRPr="00E75B0C">
        <w:rPr>
          <w:rFonts w:ascii="Verdana" w:hAnsi="Verdana"/>
          <w:sz w:val="18"/>
          <w:szCs w:val="18"/>
        </w:rPr>
        <w:t xml:space="preserve">, αναλόγως των ιδιοτήτων και συνθηκών των </w:t>
      </w:r>
      <w:r w:rsidR="00A8235A" w:rsidRPr="00E75B0C">
        <w:rPr>
          <w:rFonts w:ascii="Verdana" w:hAnsi="Verdana"/>
          <w:sz w:val="18"/>
          <w:szCs w:val="18"/>
        </w:rPr>
        <w:t>ενεχόμενων</w:t>
      </w:r>
      <w:r w:rsidR="00E57C3D" w:rsidRPr="00E75B0C">
        <w:rPr>
          <w:rFonts w:ascii="Verdana" w:hAnsi="Verdana"/>
          <w:sz w:val="18"/>
          <w:szCs w:val="18"/>
        </w:rPr>
        <w:t xml:space="preserve"> μερών</w:t>
      </w:r>
      <w:r w:rsidR="00683ED2" w:rsidRPr="00E75B0C">
        <w:rPr>
          <w:rFonts w:ascii="Verdana" w:hAnsi="Verdana"/>
          <w:sz w:val="18"/>
          <w:szCs w:val="18"/>
        </w:rPr>
        <w:t xml:space="preserve"> ή του ακινήτου</w:t>
      </w:r>
      <w:r w:rsidR="00E57C3D" w:rsidRPr="00E75B0C">
        <w:rPr>
          <w:rFonts w:ascii="Verdana" w:hAnsi="Verdana"/>
          <w:sz w:val="18"/>
          <w:szCs w:val="18"/>
        </w:rPr>
        <w:t xml:space="preserve"> (π.χ., αν ο ένας είναι σύζυγος ή </w:t>
      </w:r>
      <w:r w:rsidR="00E57C3D" w:rsidRPr="00E75B0C">
        <w:rPr>
          <w:rFonts w:ascii="Verdana" w:hAnsi="Verdana"/>
          <w:sz w:val="18"/>
          <w:szCs w:val="18"/>
          <w:lang w:val="en-US"/>
        </w:rPr>
        <w:t>partner</w:t>
      </w:r>
      <w:r w:rsidR="00E57C3D" w:rsidRPr="00E75B0C">
        <w:rPr>
          <w:rFonts w:ascii="Verdana" w:hAnsi="Verdana"/>
          <w:sz w:val="18"/>
          <w:szCs w:val="18"/>
        </w:rPr>
        <w:t xml:space="preserve"> του άλλου</w:t>
      </w:r>
      <w:r w:rsidR="00683ED2" w:rsidRPr="00E75B0C">
        <w:rPr>
          <w:rFonts w:ascii="Verdana" w:hAnsi="Verdana"/>
          <w:sz w:val="18"/>
          <w:szCs w:val="18"/>
        </w:rPr>
        <w:t xml:space="preserve"> ή αν το ακίνητο είναι σε «μειονεκτούσα» περιοχή</w:t>
      </w:r>
      <w:r w:rsidR="00E57C3D" w:rsidRPr="00E75B0C">
        <w:rPr>
          <w:rFonts w:ascii="Verdana" w:hAnsi="Verdana"/>
          <w:sz w:val="18"/>
          <w:szCs w:val="18"/>
        </w:rPr>
        <w:t xml:space="preserve">). </w:t>
      </w:r>
    </w:p>
    <w:p w:rsidR="001D4E15" w:rsidRPr="00E75B0C" w:rsidRDefault="001D4E15" w:rsidP="004D5D96">
      <w:pPr>
        <w:spacing w:line="240" w:lineRule="auto"/>
        <w:rPr>
          <w:rFonts w:ascii="Verdana" w:hAnsi="Verdana"/>
          <w:sz w:val="18"/>
          <w:szCs w:val="18"/>
        </w:rPr>
      </w:pPr>
    </w:p>
    <w:p w:rsidR="00E57C3D" w:rsidRPr="00E75B0C" w:rsidRDefault="00E57C3D" w:rsidP="00E57C3D">
      <w:pPr>
        <w:spacing w:before="150" w:after="90" w:line="240" w:lineRule="auto"/>
        <w:jc w:val="left"/>
        <w:outlineLvl w:val="2"/>
        <w:rPr>
          <w:rFonts w:ascii="Verdana" w:eastAsia="Times New Roman" w:hAnsi="Verdana" w:cs="Arial"/>
          <w:sz w:val="18"/>
          <w:szCs w:val="18"/>
          <w:lang w:val="en-US" w:eastAsia="el-GR"/>
        </w:rPr>
      </w:pPr>
      <w:bookmarkStart w:id="1" w:name="1"/>
      <w:bookmarkEnd w:id="1"/>
      <w:r w:rsidRPr="00E75B0C">
        <w:rPr>
          <w:rFonts w:ascii="Verdana" w:eastAsia="Times New Roman" w:hAnsi="Verdana" w:cs="Arial"/>
          <w:sz w:val="18"/>
          <w:szCs w:val="18"/>
          <w:lang w:val="en-US" w:eastAsia="el-GR"/>
        </w:rPr>
        <w:t>SDLT on residential land or property</w:t>
      </w:r>
    </w:p>
    <w:p w:rsidR="00E57C3D" w:rsidRPr="00E75B0C" w:rsidRDefault="00E57C3D" w:rsidP="00E57C3D">
      <w:pPr>
        <w:spacing w:before="150" w:after="150" w:line="240" w:lineRule="auto"/>
        <w:jc w:val="left"/>
        <w:outlineLvl w:val="3"/>
        <w:rPr>
          <w:rFonts w:ascii="Verdana" w:eastAsia="Times New Roman" w:hAnsi="Verdana" w:cs="Arial"/>
          <w:b/>
          <w:bCs/>
          <w:sz w:val="18"/>
          <w:szCs w:val="18"/>
          <w:lang w:val="en-US" w:eastAsia="el-GR"/>
        </w:rPr>
      </w:pPr>
      <w:r w:rsidRPr="00E75B0C">
        <w:rPr>
          <w:rFonts w:ascii="Verdana" w:eastAsia="Times New Roman" w:hAnsi="Verdana" w:cs="Arial"/>
          <w:b/>
          <w:bCs/>
          <w:sz w:val="18"/>
          <w:szCs w:val="18"/>
          <w:lang w:val="en-US" w:eastAsia="el-GR"/>
        </w:rPr>
        <w:t>SDLT on residential land or property - freehold or leasehold</w:t>
      </w:r>
    </w:p>
    <w:tbl>
      <w:tblPr>
        <w:tblW w:w="4900" w:type="pct"/>
        <w:tblBorders>
          <w:top w:val="single" w:sz="6" w:space="0" w:color="CCCCCC"/>
          <w:bottom w:val="single" w:sz="12" w:space="0" w:color="CCCC33"/>
        </w:tblBorders>
        <w:tblCellMar>
          <w:left w:w="0" w:type="dxa"/>
          <w:right w:w="0" w:type="dxa"/>
        </w:tblCellMar>
        <w:tblLook w:val="04A0" w:firstRow="1" w:lastRow="0" w:firstColumn="1" w:lastColumn="0" w:noHBand="0" w:noVBand="1"/>
      </w:tblPr>
      <w:tblGrid>
        <w:gridCol w:w="5473"/>
        <w:gridCol w:w="2849"/>
      </w:tblGrid>
      <w:tr w:rsidR="00E57C3D" w:rsidRPr="00E75B0C" w:rsidTr="00E57C3D">
        <w:tc>
          <w:tcPr>
            <w:tcW w:w="0" w:type="auto"/>
            <w:tcBorders>
              <w:left w:val="single" w:sz="6" w:space="0" w:color="CCCCCC"/>
              <w:bottom w:val="single" w:sz="12" w:space="0" w:color="CCCC33"/>
              <w:right w:val="single" w:sz="6" w:space="0" w:color="CCCCCC"/>
            </w:tcBorders>
            <w:shd w:val="clear" w:color="auto" w:fill="F5F5D6"/>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b/>
                <w:bCs/>
                <w:color w:val="000000"/>
                <w:sz w:val="18"/>
                <w:szCs w:val="18"/>
                <w:lang w:val="en-US" w:eastAsia="el-GR"/>
              </w:rPr>
            </w:pPr>
            <w:r w:rsidRPr="00E75B0C">
              <w:rPr>
                <w:rFonts w:ascii="Verdana" w:eastAsia="Times New Roman" w:hAnsi="Verdana" w:cs="Times New Roman"/>
                <w:b/>
                <w:bCs/>
                <w:color w:val="000000"/>
                <w:sz w:val="18"/>
                <w:szCs w:val="18"/>
                <w:lang w:val="en-US" w:eastAsia="el-GR"/>
              </w:rPr>
              <w:t xml:space="preserve">Purchase price/lease premium or transfer value </w:t>
            </w:r>
          </w:p>
        </w:tc>
        <w:tc>
          <w:tcPr>
            <w:tcW w:w="0" w:type="auto"/>
            <w:tcBorders>
              <w:left w:val="single" w:sz="6" w:space="0" w:color="CCCCCC"/>
              <w:bottom w:val="single" w:sz="12" w:space="0" w:color="CCCC33"/>
              <w:right w:val="single" w:sz="6" w:space="0" w:color="CCCCCC"/>
            </w:tcBorders>
            <w:shd w:val="clear" w:color="auto" w:fill="F5F5D6"/>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b/>
                <w:bCs/>
                <w:color w:val="000000"/>
                <w:sz w:val="18"/>
                <w:szCs w:val="18"/>
                <w:lang w:eastAsia="el-GR"/>
              </w:rPr>
            </w:pPr>
            <w:r w:rsidRPr="00E75B0C">
              <w:rPr>
                <w:rFonts w:ascii="Verdana" w:eastAsia="Times New Roman" w:hAnsi="Verdana" w:cs="Times New Roman"/>
                <w:b/>
                <w:bCs/>
                <w:color w:val="000000"/>
                <w:sz w:val="18"/>
                <w:szCs w:val="18"/>
                <w:lang w:eastAsia="el-GR"/>
              </w:rPr>
              <w:t xml:space="preserve">SDLT </w:t>
            </w:r>
            <w:proofErr w:type="spellStart"/>
            <w:r w:rsidRPr="00E75B0C">
              <w:rPr>
                <w:rFonts w:ascii="Verdana" w:eastAsia="Times New Roman" w:hAnsi="Verdana" w:cs="Times New Roman"/>
                <w:b/>
                <w:bCs/>
                <w:color w:val="000000"/>
                <w:sz w:val="18"/>
                <w:szCs w:val="18"/>
                <w:lang w:eastAsia="el-GR"/>
              </w:rPr>
              <w:t>rate</w:t>
            </w:r>
            <w:proofErr w:type="spellEnd"/>
          </w:p>
        </w:tc>
      </w:tr>
      <w:tr w:rsidR="00E57C3D" w:rsidRPr="00E75B0C" w:rsidTr="00E57C3D">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Up</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£125,000</w:t>
            </w:r>
          </w:p>
        </w:tc>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Zero</w:t>
            </w:r>
            <w:proofErr w:type="spellEnd"/>
          </w:p>
        </w:tc>
      </w:tr>
      <w:tr w:rsidR="00E57C3D" w:rsidRPr="00E75B0C" w:rsidTr="00E57C3D">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Over</w:t>
            </w:r>
            <w:proofErr w:type="spellEnd"/>
            <w:r w:rsidRPr="00E75B0C">
              <w:rPr>
                <w:rFonts w:ascii="Verdana" w:eastAsia="Times New Roman" w:hAnsi="Verdana" w:cs="Times New Roman"/>
                <w:sz w:val="18"/>
                <w:szCs w:val="18"/>
                <w:lang w:eastAsia="el-GR"/>
              </w:rPr>
              <w:t xml:space="preserve"> £125,000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£250,000</w:t>
            </w:r>
          </w:p>
        </w:tc>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w:t>
            </w:r>
          </w:p>
        </w:tc>
      </w:tr>
      <w:tr w:rsidR="00E57C3D" w:rsidRPr="00E75B0C" w:rsidTr="00E57C3D">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Over</w:t>
            </w:r>
            <w:proofErr w:type="spellEnd"/>
            <w:r w:rsidRPr="00E75B0C">
              <w:rPr>
                <w:rFonts w:ascii="Verdana" w:eastAsia="Times New Roman" w:hAnsi="Verdana" w:cs="Times New Roman"/>
                <w:sz w:val="18"/>
                <w:szCs w:val="18"/>
                <w:lang w:eastAsia="el-GR"/>
              </w:rPr>
              <w:t xml:space="preserve"> £250,000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£500,000</w:t>
            </w:r>
          </w:p>
        </w:tc>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3%</w:t>
            </w:r>
          </w:p>
        </w:tc>
      </w:tr>
      <w:tr w:rsidR="00E57C3D" w:rsidRPr="00E75B0C" w:rsidTr="00E57C3D">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Over</w:t>
            </w:r>
            <w:proofErr w:type="spellEnd"/>
            <w:r w:rsidRPr="00E75B0C">
              <w:rPr>
                <w:rFonts w:ascii="Verdana" w:eastAsia="Times New Roman" w:hAnsi="Verdana" w:cs="Times New Roman"/>
                <w:sz w:val="18"/>
                <w:szCs w:val="18"/>
                <w:lang w:eastAsia="el-GR"/>
              </w:rPr>
              <w:t xml:space="preserve"> £500,000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£1 </w:t>
            </w:r>
            <w:proofErr w:type="spellStart"/>
            <w:r w:rsidRPr="00E75B0C">
              <w:rPr>
                <w:rFonts w:ascii="Verdana" w:eastAsia="Times New Roman" w:hAnsi="Verdana" w:cs="Times New Roman"/>
                <w:sz w:val="18"/>
                <w:szCs w:val="18"/>
                <w:lang w:eastAsia="el-GR"/>
              </w:rPr>
              <w:t>million</w:t>
            </w:r>
            <w:proofErr w:type="spellEnd"/>
          </w:p>
        </w:tc>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4%</w:t>
            </w:r>
          </w:p>
        </w:tc>
      </w:tr>
      <w:tr w:rsidR="00E57C3D" w:rsidRPr="00E75B0C" w:rsidTr="00E57C3D">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Over</w:t>
            </w:r>
            <w:proofErr w:type="spellEnd"/>
            <w:r w:rsidRPr="00E75B0C">
              <w:rPr>
                <w:rFonts w:ascii="Verdana" w:eastAsia="Times New Roman" w:hAnsi="Verdana" w:cs="Times New Roman"/>
                <w:sz w:val="18"/>
                <w:szCs w:val="18"/>
                <w:lang w:eastAsia="el-GR"/>
              </w:rPr>
              <w:t xml:space="preserve"> £1 </w:t>
            </w:r>
            <w:proofErr w:type="spellStart"/>
            <w:r w:rsidRPr="00E75B0C">
              <w:rPr>
                <w:rFonts w:ascii="Verdana" w:eastAsia="Times New Roman" w:hAnsi="Verdana" w:cs="Times New Roman"/>
                <w:sz w:val="18"/>
                <w:szCs w:val="18"/>
                <w:lang w:eastAsia="el-GR"/>
              </w:rPr>
              <w:t>million</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£2 </w:t>
            </w:r>
            <w:proofErr w:type="spellStart"/>
            <w:r w:rsidRPr="00E75B0C">
              <w:rPr>
                <w:rFonts w:ascii="Verdana" w:eastAsia="Times New Roman" w:hAnsi="Verdana" w:cs="Times New Roman"/>
                <w:sz w:val="18"/>
                <w:szCs w:val="18"/>
                <w:lang w:eastAsia="el-GR"/>
              </w:rPr>
              <w:t>million</w:t>
            </w:r>
            <w:proofErr w:type="spellEnd"/>
          </w:p>
        </w:tc>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before="135" w:after="6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5%</w:t>
            </w:r>
          </w:p>
        </w:tc>
      </w:tr>
      <w:tr w:rsidR="00E57C3D" w:rsidRPr="00E75B0C" w:rsidTr="00E57C3D">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after="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Over</w:t>
            </w:r>
            <w:proofErr w:type="spellEnd"/>
            <w:r w:rsidRPr="00E75B0C">
              <w:rPr>
                <w:rFonts w:ascii="Verdana" w:eastAsia="Times New Roman" w:hAnsi="Verdana" w:cs="Times New Roman"/>
                <w:sz w:val="18"/>
                <w:szCs w:val="18"/>
                <w:lang w:eastAsia="el-GR"/>
              </w:rPr>
              <w:t xml:space="preserve"> £2 </w:t>
            </w:r>
            <w:proofErr w:type="spellStart"/>
            <w:r w:rsidRPr="00E75B0C">
              <w:rPr>
                <w:rFonts w:ascii="Verdana" w:eastAsia="Times New Roman" w:hAnsi="Verdana" w:cs="Times New Roman"/>
                <w:sz w:val="18"/>
                <w:szCs w:val="18"/>
                <w:lang w:eastAsia="el-GR"/>
              </w:rPr>
              <w:t>million</w:t>
            </w:r>
            <w:proofErr w:type="spellEnd"/>
          </w:p>
        </w:tc>
        <w:tc>
          <w:tcPr>
            <w:tcW w:w="6" w:type="dxa"/>
            <w:tcBorders>
              <w:left w:val="single" w:sz="6" w:space="0" w:color="CCCCCC"/>
              <w:bottom w:val="single" w:sz="6" w:space="0" w:color="CCCCCC"/>
              <w:right w:val="single" w:sz="6" w:space="0" w:color="CCCCCC"/>
            </w:tcBorders>
            <w:tcMar>
              <w:top w:w="90" w:type="dxa"/>
              <w:left w:w="90" w:type="dxa"/>
              <w:bottom w:w="90" w:type="dxa"/>
              <w:right w:w="90" w:type="dxa"/>
            </w:tcMar>
            <w:hideMark/>
          </w:tcPr>
          <w:p w:rsidR="00E57C3D" w:rsidRPr="00E75B0C" w:rsidRDefault="00E57C3D" w:rsidP="00E57C3D">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7%</w:t>
            </w:r>
          </w:p>
        </w:tc>
      </w:tr>
    </w:tbl>
    <w:p w:rsidR="006779B9" w:rsidRPr="00E75B0C" w:rsidRDefault="003964C1" w:rsidP="004D5D96">
      <w:pPr>
        <w:spacing w:line="240" w:lineRule="auto"/>
        <w:rPr>
          <w:rFonts w:ascii="Verdana" w:hAnsi="Verdana"/>
          <w:sz w:val="18"/>
          <w:szCs w:val="18"/>
        </w:rPr>
      </w:pPr>
      <w:r w:rsidRPr="00E75B0C">
        <w:rPr>
          <w:rFonts w:ascii="Verdana" w:hAnsi="Verdana"/>
          <w:sz w:val="18"/>
          <w:szCs w:val="18"/>
        </w:rPr>
        <w:t xml:space="preserve">Πηγή: </w:t>
      </w:r>
      <w:hyperlink r:id="rId28" w:history="1">
        <w:r w:rsidRPr="00E75B0C">
          <w:rPr>
            <w:rStyle w:val="-"/>
            <w:rFonts w:ascii="Verdana" w:hAnsi="Verdana"/>
            <w:sz w:val="18"/>
            <w:szCs w:val="18"/>
          </w:rPr>
          <w:t>http://www.hmrc.gov.uk/sdlt/rates-tables.htm</w:t>
        </w:r>
      </w:hyperlink>
    </w:p>
    <w:p w:rsidR="00A8235A" w:rsidRPr="00E75B0C" w:rsidRDefault="00A8235A" w:rsidP="004D5D96">
      <w:pPr>
        <w:spacing w:line="240" w:lineRule="auto"/>
        <w:rPr>
          <w:rFonts w:ascii="Verdana" w:hAnsi="Verdana" w:cs="Arial"/>
          <w:sz w:val="18"/>
          <w:szCs w:val="18"/>
        </w:rPr>
      </w:pPr>
    </w:p>
    <w:p w:rsidR="006779B9" w:rsidRPr="00E75B0C" w:rsidRDefault="00E57C3D" w:rsidP="004D5D96">
      <w:pPr>
        <w:spacing w:line="240" w:lineRule="auto"/>
        <w:rPr>
          <w:rFonts w:ascii="Verdana" w:hAnsi="Verdana"/>
          <w:sz w:val="18"/>
          <w:szCs w:val="18"/>
        </w:rPr>
      </w:pPr>
      <w:r w:rsidRPr="00E75B0C">
        <w:rPr>
          <w:rFonts w:ascii="Verdana" w:hAnsi="Verdana" w:cs="Arial"/>
          <w:sz w:val="18"/>
          <w:szCs w:val="18"/>
        </w:rPr>
        <w:t xml:space="preserve">Σημειωτέον πως απ’ τις 20.3.2014 επιβάλλεται </w:t>
      </w:r>
      <w:r w:rsidRPr="00E75B0C">
        <w:rPr>
          <w:rFonts w:ascii="Verdana" w:hAnsi="Verdana" w:cs="Arial"/>
          <w:sz w:val="18"/>
          <w:szCs w:val="18"/>
          <w:lang w:val="en-US"/>
        </w:rPr>
        <w:t>SDLT</w:t>
      </w:r>
      <w:r w:rsidRPr="00E75B0C">
        <w:rPr>
          <w:rFonts w:ascii="Verdana" w:hAnsi="Verdana" w:cs="Arial"/>
          <w:sz w:val="18"/>
          <w:szCs w:val="18"/>
        </w:rPr>
        <w:t xml:space="preserve"> 15% επί δικαιωμάτων σε ακίνητα κατοικιών αξίας άνω των £500,000 αν αυτά </w:t>
      </w:r>
      <w:r w:rsidR="00A8235A" w:rsidRPr="00E75B0C">
        <w:rPr>
          <w:rFonts w:ascii="Verdana" w:hAnsi="Verdana" w:cs="Arial"/>
          <w:sz w:val="18"/>
          <w:szCs w:val="18"/>
        </w:rPr>
        <w:t>αγοράζονται</w:t>
      </w:r>
      <w:r w:rsidRPr="00E75B0C">
        <w:rPr>
          <w:rFonts w:ascii="Verdana" w:hAnsi="Verdana" w:cs="Arial"/>
          <w:sz w:val="18"/>
          <w:szCs w:val="18"/>
        </w:rPr>
        <w:t xml:space="preserve"> από μη φυσικά πρόσωπα. </w:t>
      </w:r>
    </w:p>
    <w:p w:rsidR="003964C1" w:rsidRPr="00E75B0C" w:rsidRDefault="003964C1" w:rsidP="004D5D96">
      <w:pPr>
        <w:spacing w:line="240" w:lineRule="auto"/>
        <w:rPr>
          <w:rFonts w:ascii="Verdana" w:hAnsi="Verdana"/>
          <w:sz w:val="18"/>
          <w:szCs w:val="18"/>
        </w:rPr>
      </w:pPr>
      <w:r w:rsidRPr="00E75B0C">
        <w:rPr>
          <w:rFonts w:ascii="Verdana" w:hAnsi="Verdana"/>
          <w:sz w:val="18"/>
          <w:szCs w:val="18"/>
        </w:rPr>
        <w:t>Συνολικό κόστος αγοράς ακινήτου στο ΗΒ:</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24"/>
        <w:gridCol w:w="2906"/>
        <w:gridCol w:w="1332"/>
      </w:tblGrid>
      <w:tr w:rsidR="003964C1" w:rsidRPr="00E75B0C" w:rsidTr="003964C1">
        <w:trPr>
          <w:tblCellSpacing w:w="0" w:type="dxa"/>
        </w:trPr>
        <w:tc>
          <w:tcPr>
            <w:tcW w:w="0" w:type="auto"/>
            <w:gridSpan w:val="3"/>
            <w:tcBorders>
              <w:top w:val="single" w:sz="4" w:space="0" w:color="auto"/>
              <w:left w:val="single" w:sz="4" w:space="0" w:color="auto"/>
              <w:right w:val="single" w:sz="4" w:space="0" w:color="auto"/>
            </w:tcBorders>
            <w:vAlign w:val="center"/>
            <w:hideMark/>
          </w:tcPr>
          <w:p w:rsidR="003964C1" w:rsidRPr="00E75B0C" w:rsidRDefault="003964C1" w:rsidP="003964C1">
            <w:pPr>
              <w:spacing w:before="100" w:beforeAutospacing="1" w:after="100" w:afterAutospacing="1" w:line="240" w:lineRule="auto"/>
              <w:jc w:val="left"/>
              <w:outlineLvl w:val="2"/>
              <w:rPr>
                <w:rFonts w:ascii="Verdana" w:eastAsia="Times New Roman" w:hAnsi="Verdana" w:cs="Times New Roman"/>
                <w:b/>
                <w:bCs/>
                <w:sz w:val="18"/>
                <w:szCs w:val="18"/>
                <w:lang w:eastAsia="el-GR"/>
              </w:rPr>
            </w:pPr>
            <w:proofErr w:type="spellStart"/>
            <w:r w:rsidRPr="00E75B0C">
              <w:rPr>
                <w:rFonts w:ascii="Verdana" w:eastAsia="Times New Roman" w:hAnsi="Verdana" w:cs="Times New Roman"/>
                <w:b/>
                <w:bCs/>
                <w:sz w:val="18"/>
                <w:szCs w:val="18"/>
                <w:lang w:eastAsia="el-GR"/>
              </w:rPr>
              <w:t>Transaction</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Costs</w:t>
            </w:r>
            <w:proofErr w:type="spellEnd"/>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
        </w:tc>
        <w:tc>
          <w:tcPr>
            <w:tcW w:w="0" w:type="auto"/>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
        </w:tc>
        <w:tc>
          <w:tcPr>
            <w:tcW w:w="0" w:type="auto"/>
            <w:tcBorders>
              <w:right w:val="single" w:sz="4" w:space="0" w:color="auto"/>
            </w:tcBorders>
            <w:vAlign w:val="center"/>
            <w:hideMark/>
          </w:tcPr>
          <w:p w:rsidR="003964C1" w:rsidRPr="00E75B0C" w:rsidRDefault="003964C1" w:rsidP="00A53D23">
            <w:pPr>
              <w:spacing w:after="0" w:line="240" w:lineRule="auto"/>
              <w:jc w:val="center"/>
              <w:rPr>
                <w:rFonts w:ascii="Verdana" w:eastAsia="Times New Roman" w:hAnsi="Verdana" w:cs="Times New Roman"/>
                <w:b/>
                <w:color w:val="0070C0"/>
                <w:sz w:val="18"/>
                <w:szCs w:val="18"/>
                <w:lang w:eastAsia="el-GR"/>
              </w:rPr>
            </w:pPr>
            <w:proofErr w:type="spellStart"/>
            <w:r w:rsidRPr="00E75B0C">
              <w:rPr>
                <w:rFonts w:ascii="Verdana" w:eastAsia="Times New Roman" w:hAnsi="Verdana" w:cs="Times New Roman"/>
                <w:b/>
                <w:color w:val="0070C0"/>
                <w:sz w:val="18"/>
                <w:szCs w:val="18"/>
                <w:lang w:eastAsia="el-GR"/>
              </w:rPr>
              <w:t>Who</w:t>
            </w:r>
            <w:proofErr w:type="spellEnd"/>
            <w:r w:rsidRPr="00E75B0C">
              <w:rPr>
                <w:rFonts w:ascii="Verdana" w:eastAsia="Times New Roman" w:hAnsi="Verdana" w:cs="Times New Roman"/>
                <w:b/>
                <w:color w:val="0070C0"/>
                <w:sz w:val="18"/>
                <w:szCs w:val="18"/>
                <w:lang w:eastAsia="el-GR"/>
              </w:rPr>
              <w:t xml:space="preserve"> </w:t>
            </w:r>
            <w:proofErr w:type="spellStart"/>
            <w:r w:rsidRPr="00E75B0C">
              <w:rPr>
                <w:rFonts w:ascii="Verdana" w:eastAsia="Times New Roman" w:hAnsi="Verdana" w:cs="Times New Roman"/>
                <w:b/>
                <w:color w:val="0070C0"/>
                <w:sz w:val="18"/>
                <w:szCs w:val="18"/>
                <w:lang w:eastAsia="el-GR"/>
              </w:rPr>
              <w:t>Pays</w:t>
            </w:r>
            <w:proofErr w:type="spellEnd"/>
            <w:r w:rsidRPr="00E75B0C">
              <w:rPr>
                <w:rFonts w:ascii="Verdana" w:eastAsia="Times New Roman" w:hAnsi="Verdana" w:cs="Times New Roman"/>
                <w:b/>
                <w:color w:val="0070C0"/>
                <w:sz w:val="18"/>
                <w:szCs w:val="18"/>
                <w:lang w:eastAsia="el-GR"/>
              </w:rPr>
              <w:t>?</w:t>
            </w:r>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BB7715" w:rsidP="003964C1">
            <w:pPr>
              <w:spacing w:after="0" w:line="240" w:lineRule="auto"/>
              <w:jc w:val="left"/>
              <w:rPr>
                <w:rFonts w:ascii="Verdana" w:eastAsia="Times New Roman" w:hAnsi="Verdana" w:cs="Times New Roman"/>
                <w:sz w:val="18"/>
                <w:szCs w:val="18"/>
                <w:lang w:eastAsia="el-GR"/>
              </w:rPr>
            </w:pPr>
            <w:hyperlink r:id="rId29" w:anchor="stamp-duty" w:history="1">
              <w:proofErr w:type="spellStart"/>
              <w:r w:rsidR="003964C1" w:rsidRPr="00E75B0C">
                <w:rPr>
                  <w:rFonts w:ascii="Verdana" w:eastAsia="Times New Roman" w:hAnsi="Verdana" w:cs="Times New Roman"/>
                  <w:color w:val="0000FF"/>
                  <w:sz w:val="18"/>
                  <w:szCs w:val="18"/>
                  <w:u w:val="single"/>
                  <w:lang w:eastAsia="el-GR"/>
                </w:rPr>
                <w:t>Stamp</w:t>
              </w:r>
              <w:proofErr w:type="spellEnd"/>
              <w:r w:rsidR="003964C1" w:rsidRPr="00E75B0C">
                <w:rPr>
                  <w:rFonts w:ascii="Verdana" w:eastAsia="Times New Roman" w:hAnsi="Verdana" w:cs="Times New Roman"/>
                  <w:color w:val="0000FF"/>
                  <w:sz w:val="18"/>
                  <w:szCs w:val="18"/>
                  <w:u w:val="single"/>
                  <w:lang w:eastAsia="el-GR"/>
                </w:rPr>
                <w:t xml:space="preserve"> </w:t>
              </w:r>
              <w:proofErr w:type="spellStart"/>
              <w:r w:rsidR="003964C1" w:rsidRPr="00E75B0C">
                <w:rPr>
                  <w:rFonts w:ascii="Verdana" w:eastAsia="Times New Roman" w:hAnsi="Verdana" w:cs="Times New Roman"/>
                  <w:color w:val="0000FF"/>
                  <w:sz w:val="18"/>
                  <w:szCs w:val="18"/>
                  <w:u w:val="single"/>
                  <w:lang w:eastAsia="el-GR"/>
                </w:rPr>
                <w:t>Duty</w:t>
              </w:r>
              <w:proofErr w:type="spellEnd"/>
            </w:hyperlink>
          </w:p>
        </w:tc>
        <w:tc>
          <w:tcPr>
            <w:tcW w:w="0" w:type="auto"/>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 - 7%</w:t>
            </w:r>
          </w:p>
        </w:tc>
        <w:tc>
          <w:tcPr>
            <w:tcW w:w="0" w:type="auto"/>
            <w:tcBorders>
              <w:right w:val="single" w:sz="4" w:space="0" w:color="auto"/>
            </w:tcBorders>
            <w:vAlign w:val="center"/>
            <w:hideMark/>
          </w:tcPr>
          <w:p w:rsidR="003964C1" w:rsidRPr="00E75B0C" w:rsidRDefault="003964C1" w:rsidP="00A53D23">
            <w:pPr>
              <w:spacing w:after="0" w:line="240" w:lineRule="auto"/>
              <w:jc w:val="center"/>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buyer</w:t>
            </w:r>
            <w:proofErr w:type="spellEnd"/>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Legal</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Fees</w:t>
            </w:r>
            <w:proofErr w:type="spellEnd"/>
          </w:p>
        </w:tc>
        <w:tc>
          <w:tcPr>
            <w:tcW w:w="0" w:type="auto"/>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0.5% - 1%</w:t>
            </w:r>
          </w:p>
        </w:tc>
        <w:tc>
          <w:tcPr>
            <w:tcW w:w="0" w:type="auto"/>
            <w:tcBorders>
              <w:right w:val="single" w:sz="4" w:space="0" w:color="auto"/>
            </w:tcBorders>
            <w:vAlign w:val="center"/>
            <w:hideMark/>
          </w:tcPr>
          <w:p w:rsidR="003964C1" w:rsidRPr="00E75B0C" w:rsidRDefault="003964C1" w:rsidP="00A53D23">
            <w:pPr>
              <w:spacing w:after="0" w:line="240" w:lineRule="auto"/>
              <w:jc w:val="center"/>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buyer</w:t>
            </w:r>
            <w:proofErr w:type="spellEnd"/>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Land</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Registry</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Fees</w:t>
            </w:r>
            <w:proofErr w:type="spellEnd"/>
          </w:p>
        </w:tc>
        <w:tc>
          <w:tcPr>
            <w:tcW w:w="0" w:type="auto"/>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0.04% - 0.15%</w:t>
            </w:r>
          </w:p>
        </w:tc>
        <w:tc>
          <w:tcPr>
            <w:tcW w:w="0" w:type="auto"/>
            <w:tcBorders>
              <w:right w:val="single" w:sz="4" w:space="0" w:color="auto"/>
            </w:tcBorders>
            <w:vAlign w:val="center"/>
            <w:hideMark/>
          </w:tcPr>
          <w:p w:rsidR="003964C1" w:rsidRPr="00E75B0C" w:rsidRDefault="003964C1" w:rsidP="00A53D23">
            <w:pPr>
              <w:spacing w:after="0" w:line="240" w:lineRule="auto"/>
              <w:jc w:val="center"/>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buyer</w:t>
            </w:r>
            <w:proofErr w:type="spellEnd"/>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Agent´s</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Fees</w:t>
            </w:r>
            <w:proofErr w:type="spellEnd"/>
          </w:p>
        </w:tc>
        <w:tc>
          <w:tcPr>
            <w:tcW w:w="0" w:type="auto"/>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2% - 3.5% (+ 17.5% VAT)</w:t>
            </w:r>
          </w:p>
        </w:tc>
        <w:tc>
          <w:tcPr>
            <w:tcW w:w="0" w:type="auto"/>
            <w:tcBorders>
              <w:right w:val="single" w:sz="4" w:space="0" w:color="auto"/>
            </w:tcBorders>
            <w:vAlign w:val="center"/>
            <w:hideMark/>
          </w:tcPr>
          <w:p w:rsidR="003964C1" w:rsidRPr="00E75B0C" w:rsidRDefault="003964C1" w:rsidP="00A53D23">
            <w:pPr>
              <w:spacing w:after="0" w:line="240" w:lineRule="auto"/>
              <w:jc w:val="center"/>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seller</w:t>
            </w:r>
            <w:proofErr w:type="spellEnd"/>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b/>
                <w:bCs/>
                <w:sz w:val="18"/>
                <w:szCs w:val="18"/>
                <w:lang w:eastAsia="el-GR"/>
              </w:rPr>
              <w:t>Costs</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paid</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by</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buyer</w:t>
            </w:r>
            <w:proofErr w:type="spellEnd"/>
          </w:p>
        </w:tc>
        <w:tc>
          <w:tcPr>
            <w:tcW w:w="0" w:type="auto"/>
            <w:gridSpan w:val="2"/>
            <w:tcBorders>
              <w:righ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b/>
                <w:bCs/>
                <w:sz w:val="18"/>
                <w:szCs w:val="18"/>
                <w:lang w:eastAsia="el-GR"/>
              </w:rPr>
              <w:t>1.54% - 8.15%</w:t>
            </w:r>
          </w:p>
        </w:tc>
      </w:tr>
      <w:tr w:rsidR="003964C1" w:rsidRPr="00E75B0C" w:rsidTr="003964C1">
        <w:trPr>
          <w:tblCellSpacing w:w="0" w:type="dxa"/>
        </w:trPr>
        <w:tc>
          <w:tcPr>
            <w:tcW w:w="0" w:type="auto"/>
            <w:tcBorders>
              <w:lef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proofErr w:type="spellStart"/>
            <w:r w:rsidRPr="00E75B0C">
              <w:rPr>
                <w:rFonts w:ascii="Verdana" w:eastAsia="Times New Roman" w:hAnsi="Verdana" w:cs="Times New Roman"/>
                <w:b/>
                <w:bCs/>
                <w:sz w:val="18"/>
                <w:szCs w:val="18"/>
                <w:lang w:eastAsia="el-GR"/>
              </w:rPr>
              <w:t>Costs</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paid</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by</w:t>
            </w:r>
            <w:proofErr w:type="spellEnd"/>
            <w:r w:rsidRPr="00E75B0C">
              <w:rPr>
                <w:rFonts w:ascii="Verdana" w:eastAsia="Times New Roman" w:hAnsi="Verdana" w:cs="Times New Roman"/>
                <w:b/>
                <w:bCs/>
                <w:sz w:val="18"/>
                <w:szCs w:val="18"/>
                <w:lang w:eastAsia="el-GR"/>
              </w:rPr>
              <w:t xml:space="preserve"> </w:t>
            </w:r>
            <w:proofErr w:type="spellStart"/>
            <w:r w:rsidRPr="00E75B0C">
              <w:rPr>
                <w:rFonts w:ascii="Verdana" w:eastAsia="Times New Roman" w:hAnsi="Verdana" w:cs="Times New Roman"/>
                <w:b/>
                <w:bCs/>
                <w:sz w:val="18"/>
                <w:szCs w:val="18"/>
                <w:lang w:eastAsia="el-GR"/>
              </w:rPr>
              <w:t>seller</w:t>
            </w:r>
            <w:proofErr w:type="spellEnd"/>
          </w:p>
        </w:tc>
        <w:tc>
          <w:tcPr>
            <w:tcW w:w="0" w:type="auto"/>
            <w:gridSpan w:val="2"/>
            <w:tcBorders>
              <w:righ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b/>
                <w:bCs/>
                <w:sz w:val="18"/>
                <w:szCs w:val="18"/>
                <w:lang w:eastAsia="el-GR"/>
              </w:rPr>
              <w:t>2.35% - 4.11%</w:t>
            </w:r>
          </w:p>
        </w:tc>
      </w:tr>
      <w:tr w:rsidR="003964C1" w:rsidRPr="00E75B0C" w:rsidTr="003964C1">
        <w:trPr>
          <w:tblCellSpacing w:w="0" w:type="dxa"/>
        </w:trPr>
        <w:tc>
          <w:tcPr>
            <w:tcW w:w="0" w:type="auto"/>
            <w:tcBorders>
              <w:left w:val="single" w:sz="4" w:space="0" w:color="auto"/>
              <w:bottom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b/>
                <w:bCs/>
                <w:sz w:val="18"/>
                <w:szCs w:val="18"/>
                <w:lang w:eastAsia="el-GR"/>
              </w:rPr>
              <w:t>ROUNDTRIP TRANSACTION COSTS</w:t>
            </w:r>
          </w:p>
        </w:tc>
        <w:tc>
          <w:tcPr>
            <w:tcW w:w="0" w:type="auto"/>
            <w:gridSpan w:val="2"/>
            <w:tcBorders>
              <w:bottom w:val="single" w:sz="4" w:space="0" w:color="auto"/>
              <w:right w:val="single" w:sz="4" w:space="0" w:color="auto"/>
            </w:tcBorders>
            <w:vAlign w:val="center"/>
            <w:hideMark/>
          </w:tcPr>
          <w:p w:rsidR="003964C1" w:rsidRPr="00E75B0C" w:rsidRDefault="003964C1" w:rsidP="003964C1">
            <w:pPr>
              <w:spacing w:after="0" w:line="240" w:lineRule="auto"/>
              <w:jc w:val="left"/>
              <w:rPr>
                <w:rFonts w:ascii="Verdana" w:eastAsia="Times New Roman" w:hAnsi="Verdana" w:cs="Times New Roman"/>
                <w:sz w:val="18"/>
                <w:szCs w:val="18"/>
                <w:lang w:eastAsia="el-GR"/>
              </w:rPr>
            </w:pPr>
            <w:r w:rsidRPr="00E75B0C">
              <w:rPr>
                <w:rFonts w:ascii="Verdana" w:eastAsia="Times New Roman" w:hAnsi="Verdana" w:cs="Times New Roman"/>
                <w:b/>
                <w:bCs/>
                <w:sz w:val="18"/>
                <w:szCs w:val="18"/>
                <w:lang w:eastAsia="el-GR"/>
              </w:rPr>
              <w:t>3.88% - 12.26%</w:t>
            </w:r>
          </w:p>
        </w:tc>
      </w:tr>
    </w:tbl>
    <w:p w:rsidR="003964C1" w:rsidRPr="00E75B0C" w:rsidRDefault="003964C1" w:rsidP="004D5D96">
      <w:pPr>
        <w:spacing w:line="240" w:lineRule="auto"/>
        <w:rPr>
          <w:rFonts w:ascii="Verdana" w:hAnsi="Verdana"/>
          <w:sz w:val="18"/>
          <w:szCs w:val="18"/>
        </w:rPr>
      </w:pPr>
      <w:r w:rsidRPr="00E75B0C">
        <w:rPr>
          <w:rFonts w:ascii="Verdana" w:hAnsi="Verdana"/>
          <w:sz w:val="18"/>
          <w:szCs w:val="18"/>
        </w:rPr>
        <w:t xml:space="preserve">Πηγή: </w:t>
      </w:r>
      <w:hyperlink r:id="rId30" w:history="1">
        <w:r w:rsidRPr="00E75B0C">
          <w:rPr>
            <w:rStyle w:val="-"/>
            <w:rFonts w:ascii="Verdana" w:hAnsi="Verdana"/>
            <w:sz w:val="18"/>
            <w:szCs w:val="18"/>
          </w:rPr>
          <w:t>http://www.globalpropertyguide.com/Europe/United-Kingdom/Buying-Guide</w:t>
        </w:r>
      </w:hyperlink>
    </w:p>
    <w:p w:rsidR="003964C1" w:rsidRPr="00E75B0C" w:rsidRDefault="003964C1" w:rsidP="004D5D96">
      <w:pPr>
        <w:spacing w:line="240" w:lineRule="auto"/>
        <w:rPr>
          <w:rFonts w:ascii="Verdana" w:hAnsi="Verdana"/>
          <w:sz w:val="18"/>
          <w:szCs w:val="18"/>
        </w:rPr>
      </w:pPr>
    </w:p>
    <w:p w:rsidR="003964C1" w:rsidRPr="00E75B0C" w:rsidRDefault="003964C1" w:rsidP="004D5D96">
      <w:pPr>
        <w:spacing w:line="240" w:lineRule="auto"/>
        <w:rPr>
          <w:rFonts w:ascii="Verdana" w:hAnsi="Verdana"/>
          <w:sz w:val="18"/>
          <w:szCs w:val="18"/>
        </w:rPr>
      </w:pPr>
      <w:r w:rsidRPr="00E75B0C">
        <w:rPr>
          <w:rFonts w:ascii="Verdana" w:hAnsi="Verdana"/>
          <w:sz w:val="18"/>
          <w:szCs w:val="18"/>
        </w:rPr>
        <w:t>Επιπλέον, αλλά προαιρετικά, ο αγοραστής πληρώνει για την ετοιμασία (από επαγγελματίες) δύο ειδών εκθέσεων ελέγχου ακινήτου (</w:t>
      </w:r>
      <w:r w:rsidRPr="00E75B0C">
        <w:rPr>
          <w:rFonts w:ascii="Verdana" w:hAnsi="Verdana"/>
          <w:sz w:val="18"/>
          <w:szCs w:val="18"/>
          <w:lang w:val="en-US"/>
        </w:rPr>
        <w:t>surveys</w:t>
      </w:r>
      <w:r w:rsidRPr="00E75B0C">
        <w:rPr>
          <w:rFonts w:ascii="Verdana" w:hAnsi="Verdana"/>
          <w:sz w:val="18"/>
          <w:szCs w:val="18"/>
        </w:rPr>
        <w:t>):</w:t>
      </w:r>
    </w:p>
    <w:p w:rsidR="003964C1" w:rsidRPr="00E75B0C" w:rsidRDefault="003964C1" w:rsidP="004D5D96">
      <w:pPr>
        <w:spacing w:line="240" w:lineRule="auto"/>
        <w:rPr>
          <w:rFonts w:ascii="Verdana" w:hAnsi="Verdana"/>
          <w:sz w:val="18"/>
          <w:szCs w:val="18"/>
          <w:lang w:val="en-US"/>
        </w:rPr>
      </w:pPr>
      <w:r w:rsidRPr="00E75B0C">
        <w:rPr>
          <w:rFonts w:ascii="Verdana" w:hAnsi="Verdana"/>
          <w:sz w:val="18"/>
          <w:szCs w:val="18"/>
          <w:lang w:val="en-US"/>
        </w:rPr>
        <w:t>Building survey (</w:t>
      </w:r>
      <w:r w:rsidRPr="00E75B0C">
        <w:rPr>
          <w:rFonts w:ascii="Verdana" w:hAnsi="Verdana"/>
          <w:sz w:val="18"/>
          <w:szCs w:val="18"/>
        </w:rPr>
        <w:t>από</w:t>
      </w:r>
      <w:r w:rsidRPr="00E75B0C">
        <w:rPr>
          <w:rFonts w:ascii="Verdana" w:hAnsi="Verdana"/>
          <w:sz w:val="18"/>
          <w:szCs w:val="18"/>
          <w:lang w:val="en-US"/>
        </w:rPr>
        <w:t xml:space="preserve"> £500 </w:t>
      </w:r>
      <w:r w:rsidRPr="00E75B0C">
        <w:rPr>
          <w:rFonts w:ascii="Verdana" w:hAnsi="Verdana"/>
          <w:sz w:val="18"/>
          <w:szCs w:val="18"/>
        </w:rPr>
        <w:t>ως</w:t>
      </w:r>
      <w:r w:rsidRPr="00E75B0C">
        <w:rPr>
          <w:rFonts w:ascii="Verdana" w:hAnsi="Verdana"/>
          <w:sz w:val="18"/>
          <w:szCs w:val="18"/>
          <w:lang w:val="en-US"/>
        </w:rPr>
        <w:t xml:space="preserve"> £1,000).</w:t>
      </w:r>
    </w:p>
    <w:p w:rsidR="003964C1" w:rsidRPr="00E75B0C" w:rsidRDefault="003964C1" w:rsidP="004D5D96">
      <w:pPr>
        <w:spacing w:line="240" w:lineRule="auto"/>
        <w:rPr>
          <w:rFonts w:ascii="Verdana" w:hAnsi="Verdana"/>
          <w:sz w:val="18"/>
          <w:szCs w:val="18"/>
          <w:lang w:val="en-US"/>
        </w:rPr>
      </w:pPr>
      <w:proofErr w:type="gramStart"/>
      <w:r w:rsidRPr="00E75B0C">
        <w:rPr>
          <w:rFonts w:ascii="Verdana" w:hAnsi="Verdana"/>
          <w:sz w:val="18"/>
          <w:szCs w:val="18"/>
          <w:lang w:val="en-US"/>
        </w:rPr>
        <w:lastRenderedPageBreak/>
        <w:t>Homebuyer’s report (</w:t>
      </w:r>
      <w:r w:rsidRPr="00E75B0C">
        <w:rPr>
          <w:rFonts w:ascii="Verdana" w:hAnsi="Verdana"/>
          <w:sz w:val="18"/>
          <w:szCs w:val="18"/>
        </w:rPr>
        <w:t>από</w:t>
      </w:r>
      <w:r w:rsidRPr="00E75B0C">
        <w:rPr>
          <w:rFonts w:ascii="Verdana" w:hAnsi="Verdana"/>
          <w:sz w:val="18"/>
          <w:szCs w:val="18"/>
          <w:lang w:val="en-US"/>
        </w:rPr>
        <w:t xml:space="preserve"> £300 </w:t>
      </w:r>
      <w:r w:rsidRPr="00E75B0C">
        <w:rPr>
          <w:rFonts w:ascii="Verdana" w:hAnsi="Verdana"/>
          <w:sz w:val="18"/>
          <w:szCs w:val="18"/>
        </w:rPr>
        <w:t>ως</w:t>
      </w:r>
      <w:r w:rsidRPr="00E75B0C">
        <w:rPr>
          <w:rFonts w:ascii="Verdana" w:hAnsi="Verdana"/>
          <w:sz w:val="18"/>
          <w:szCs w:val="18"/>
          <w:lang w:val="en-US"/>
        </w:rPr>
        <w:t xml:space="preserve"> £500).</w:t>
      </w:r>
      <w:proofErr w:type="gramEnd"/>
      <w:r w:rsidRPr="00E75B0C">
        <w:rPr>
          <w:rFonts w:ascii="Verdana" w:hAnsi="Verdana"/>
          <w:sz w:val="18"/>
          <w:szCs w:val="18"/>
          <w:lang w:val="en-US"/>
        </w:rPr>
        <w:t xml:space="preserve"> </w:t>
      </w:r>
    </w:p>
    <w:p w:rsidR="003964C1" w:rsidRPr="00E75B0C" w:rsidRDefault="003964C1" w:rsidP="004D5D96">
      <w:pPr>
        <w:spacing w:line="240" w:lineRule="auto"/>
        <w:rPr>
          <w:rFonts w:ascii="Verdana" w:hAnsi="Verdana"/>
          <w:sz w:val="18"/>
          <w:szCs w:val="18"/>
          <w:lang w:val="en-US"/>
        </w:rPr>
      </w:pPr>
    </w:p>
    <w:p w:rsidR="001D4E15" w:rsidRPr="00E75B0C" w:rsidRDefault="001D4E15" w:rsidP="004D5D96">
      <w:pPr>
        <w:spacing w:line="240" w:lineRule="auto"/>
        <w:rPr>
          <w:rFonts w:ascii="Verdana" w:hAnsi="Verdana"/>
          <w:b/>
          <w:sz w:val="18"/>
          <w:szCs w:val="18"/>
        </w:rPr>
      </w:pPr>
      <w:r w:rsidRPr="00E75B0C">
        <w:rPr>
          <w:rFonts w:ascii="Verdana" w:hAnsi="Verdana"/>
          <w:b/>
          <w:sz w:val="18"/>
          <w:szCs w:val="18"/>
        </w:rPr>
        <w:t>(Β) Φόροι κατοχής.</w:t>
      </w:r>
    </w:p>
    <w:p w:rsidR="001D4E15" w:rsidRPr="00E75B0C" w:rsidRDefault="002A4824" w:rsidP="004D5D96">
      <w:pPr>
        <w:spacing w:line="240" w:lineRule="auto"/>
        <w:rPr>
          <w:rFonts w:ascii="Verdana" w:hAnsi="Verdana"/>
          <w:sz w:val="18"/>
          <w:szCs w:val="18"/>
        </w:rPr>
      </w:pPr>
      <w:r w:rsidRPr="00E75B0C">
        <w:rPr>
          <w:rFonts w:ascii="Verdana" w:hAnsi="Verdana"/>
          <w:sz w:val="18"/>
          <w:szCs w:val="18"/>
        </w:rPr>
        <w:t>Ο βασικός φόρος, επιβαλλόμενος σε κατοικίες, λέγεται</w:t>
      </w:r>
      <w:r w:rsidR="00A510D9" w:rsidRPr="00E75B0C">
        <w:rPr>
          <w:rFonts w:ascii="Verdana" w:hAnsi="Verdana"/>
          <w:sz w:val="18"/>
          <w:szCs w:val="18"/>
        </w:rPr>
        <w:t xml:space="preserve"> </w:t>
      </w:r>
      <w:r w:rsidR="00A510D9" w:rsidRPr="00E75B0C">
        <w:rPr>
          <w:rFonts w:ascii="Verdana" w:hAnsi="Verdana"/>
          <w:sz w:val="18"/>
          <w:szCs w:val="18"/>
          <w:lang w:val="en-US"/>
        </w:rPr>
        <w:t>Council</w:t>
      </w:r>
      <w:r w:rsidR="00A510D9" w:rsidRPr="00E75B0C">
        <w:rPr>
          <w:rFonts w:ascii="Verdana" w:hAnsi="Verdana"/>
          <w:sz w:val="18"/>
          <w:szCs w:val="18"/>
        </w:rPr>
        <w:t xml:space="preserve"> </w:t>
      </w:r>
      <w:r w:rsidR="00A510D9" w:rsidRPr="00E75B0C">
        <w:rPr>
          <w:rFonts w:ascii="Verdana" w:hAnsi="Verdana"/>
          <w:sz w:val="18"/>
          <w:szCs w:val="18"/>
          <w:lang w:val="en-US"/>
        </w:rPr>
        <w:t>Tax</w:t>
      </w:r>
      <w:r w:rsidR="00A510D9" w:rsidRPr="00E75B0C">
        <w:rPr>
          <w:rFonts w:ascii="Verdana" w:hAnsi="Verdana"/>
          <w:sz w:val="18"/>
          <w:szCs w:val="18"/>
        </w:rPr>
        <w:t xml:space="preserve">. </w:t>
      </w:r>
      <w:r w:rsidR="005270D6" w:rsidRPr="00E75B0C">
        <w:rPr>
          <w:rFonts w:ascii="Verdana" w:hAnsi="Verdana"/>
          <w:sz w:val="18"/>
          <w:szCs w:val="18"/>
        </w:rPr>
        <w:t xml:space="preserve">Σε </w:t>
      </w:r>
      <w:r w:rsidR="00BB3D37" w:rsidRPr="00E75B0C">
        <w:rPr>
          <w:rFonts w:ascii="Verdana" w:hAnsi="Verdana"/>
          <w:sz w:val="18"/>
          <w:szCs w:val="18"/>
        </w:rPr>
        <w:t>αντίθεση</w:t>
      </w:r>
      <w:r w:rsidR="005270D6" w:rsidRPr="00E75B0C">
        <w:rPr>
          <w:rFonts w:ascii="Verdana" w:hAnsi="Verdana"/>
          <w:sz w:val="18"/>
          <w:szCs w:val="18"/>
        </w:rPr>
        <w:t xml:space="preserve"> με Γαλλία και Γερμανία, ο φόρος υπολογίζεται και συλλέγεται απ’ το δήμο. Περιλαμβάνει ποσά, που κατόπιν πηγαίνουν σε άλλους αποδέκτες (</w:t>
      </w:r>
      <w:proofErr w:type="spellStart"/>
      <w:r w:rsidR="005270D6" w:rsidRPr="00E75B0C">
        <w:rPr>
          <w:rFonts w:ascii="Verdana" w:hAnsi="Verdana"/>
          <w:sz w:val="18"/>
          <w:szCs w:val="18"/>
          <w:lang w:val="en-US"/>
        </w:rPr>
        <w:t>precepting</w:t>
      </w:r>
      <w:proofErr w:type="spellEnd"/>
      <w:r w:rsidR="005270D6" w:rsidRPr="00E75B0C">
        <w:rPr>
          <w:rFonts w:ascii="Verdana" w:hAnsi="Verdana"/>
          <w:sz w:val="18"/>
          <w:szCs w:val="18"/>
        </w:rPr>
        <w:t xml:space="preserve"> </w:t>
      </w:r>
      <w:r w:rsidR="005270D6" w:rsidRPr="00E75B0C">
        <w:rPr>
          <w:rFonts w:ascii="Verdana" w:hAnsi="Verdana"/>
          <w:sz w:val="18"/>
          <w:szCs w:val="18"/>
          <w:lang w:val="en-US"/>
        </w:rPr>
        <w:t>authorities</w:t>
      </w:r>
      <w:r w:rsidR="005270D6" w:rsidRPr="00E75B0C">
        <w:rPr>
          <w:rFonts w:ascii="Verdana" w:hAnsi="Verdana"/>
          <w:sz w:val="18"/>
          <w:szCs w:val="18"/>
        </w:rPr>
        <w:t xml:space="preserve">, π.χ., η </w:t>
      </w:r>
      <w:r w:rsidR="005270D6" w:rsidRPr="00E75B0C">
        <w:rPr>
          <w:rFonts w:ascii="Verdana" w:hAnsi="Verdana"/>
          <w:sz w:val="18"/>
          <w:szCs w:val="18"/>
          <w:lang w:val="en-US"/>
        </w:rPr>
        <w:t>Greater</w:t>
      </w:r>
      <w:r w:rsidR="005270D6" w:rsidRPr="00E75B0C">
        <w:rPr>
          <w:rFonts w:ascii="Verdana" w:hAnsi="Verdana"/>
          <w:sz w:val="18"/>
          <w:szCs w:val="18"/>
        </w:rPr>
        <w:t xml:space="preserve"> </w:t>
      </w:r>
      <w:r w:rsidR="005270D6" w:rsidRPr="00E75B0C">
        <w:rPr>
          <w:rFonts w:ascii="Verdana" w:hAnsi="Verdana"/>
          <w:sz w:val="18"/>
          <w:szCs w:val="18"/>
          <w:lang w:val="en-US"/>
        </w:rPr>
        <w:t>London</w:t>
      </w:r>
      <w:r w:rsidR="005270D6" w:rsidRPr="00E75B0C">
        <w:rPr>
          <w:rFonts w:ascii="Verdana" w:hAnsi="Verdana"/>
          <w:sz w:val="18"/>
          <w:szCs w:val="18"/>
        </w:rPr>
        <w:t xml:space="preserve"> </w:t>
      </w:r>
      <w:r w:rsidR="005270D6" w:rsidRPr="00E75B0C">
        <w:rPr>
          <w:rFonts w:ascii="Verdana" w:hAnsi="Verdana"/>
          <w:sz w:val="18"/>
          <w:szCs w:val="18"/>
          <w:lang w:val="en-US"/>
        </w:rPr>
        <w:t>Authority</w:t>
      </w:r>
      <w:r w:rsidR="005270D6" w:rsidRPr="00E75B0C">
        <w:rPr>
          <w:rFonts w:ascii="Verdana" w:hAnsi="Verdana"/>
          <w:sz w:val="18"/>
          <w:szCs w:val="18"/>
        </w:rPr>
        <w:t>). Τα έσοδα απ’ το φόρο κατοχής καλύπτουν, κατά Μ.Ο., το 25% των εσόδων των δήμων, με το υπόλοιπο να προέρχεται απ’ το κεντρικό κράτος. Το υπόλοιπο αυτό είναι είτε επιχορηγήσεις (</w:t>
      </w:r>
      <w:r w:rsidR="005270D6" w:rsidRPr="00E75B0C">
        <w:rPr>
          <w:rFonts w:ascii="Verdana" w:hAnsi="Verdana"/>
          <w:sz w:val="18"/>
          <w:szCs w:val="18"/>
          <w:lang w:val="en-US"/>
        </w:rPr>
        <w:t>grants</w:t>
      </w:r>
      <w:r w:rsidR="005270D6" w:rsidRPr="00E75B0C">
        <w:rPr>
          <w:rFonts w:ascii="Verdana" w:hAnsi="Verdana"/>
          <w:sz w:val="18"/>
          <w:szCs w:val="18"/>
        </w:rPr>
        <w:t xml:space="preserve">) είτε τα έσοδα απ’ τα </w:t>
      </w:r>
      <w:r w:rsidR="005270D6" w:rsidRPr="00E75B0C">
        <w:rPr>
          <w:rFonts w:ascii="Verdana" w:hAnsi="Verdana"/>
          <w:sz w:val="18"/>
          <w:szCs w:val="18"/>
          <w:lang w:val="en-US"/>
        </w:rPr>
        <w:t>business</w:t>
      </w:r>
      <w:r w:rsidR="005270D6" w:rsidRPr="00E75B0C">
        <w:rPr>
          <w:rFonts w:ascii="Verdana" w:hAnsi="Verdana"/>
          <w:sz w:val="18"/>
          <w:szCs w:val="18"/>
        </w:rPr>
        <w:t xml:space="preserve"> </w:t>
      </w:r>
      <w:r w:rsidR="005270D6" w:rsidRPr="00E75B0C">
        <w:rPr>
          <w:rFonts w:ascii="Verdana" w:hAnsi="Verdana"/>
          <w:sz w:val="18"/>
          <w:szCs w:val="18"/>
          <w:lang w:val="en-US"/>
        </w:rPr>
        <w:t>rates</w:t>
      </w:r>
      <w:r w:rsidR="005270D6" w:rsidRPr="00E75B0C">
        <w:rPr>
          <w:rFonts w:ascii="Verdana" w:hAnsi="Verdana"/>
          <w:sz w:val="18"/>
          <w:szCs w:val="18"/>
        </w:rPr>
        <w:t xml:space="preserve"> (φόροι επί εμπορικών ακινήτων, δηλ. επί </w:t>
      </w:r>
      <w:r w:rsidR="005270D6" w:rsidRPr="00E75B0C">
        <w:rPr>
          <w:rFonts w:ascii="Verdana" w:hAnsi="Verdana"/>
          <w:sz w:val="18"/>
          <w:szCs w:val="18"/>
          <w:lang w:val="en-US"/>
        </w:rPr>
        <w:t>non</w:t>
      </w:r>
      <w:r w:rsidR="005270D6" w:rsidRPr="00E75B0C">
        <w:rPr>
          <w:rFonts w:ascii="Verdana" w:hAnsi="Verdana"/>
          <w:sz w:val="18"/>
          <w:szCs w:val="18"/>
        </w:rPr>
        <w:t>-</w:t>
      </w:r>
      <w:r w:rsidR="005270D6" w:rsidRPr="00E75B0C">
        <w:rPr>
          <w:rFonts w:ascii="Verdana" w:hAnsi="Verdana"/>
          <w:sz w:val="18"/>
          <w:szCs w:val="18"/>
          <w:lang w:val="en-US"/>
        </w:rPr>
        <w:t>residential</w:t>
      </w:r>
      <w:r w:rsidR="005270D6" w:rsidRPr="00E75B0C">
        <w:rPr>
          <w:rFonts w:ascii="Verdana" w:hAnsi="Verdana"/>
          <w:sz w:val="18"/>
          <w:szCs w:val="18"/>
        </w:rPr>
        <w:t xml:space="preserve"> </w:t>
      </w:r>
      <w:r w:rsidR="005270D6" w:rsidRPr="00E75B0C">
        <w:rPr>
          <w:rFonts w:ascii="Verdana" w:hAnsi="Verdana"/>
          <w:sz w:val="18"/>
          <w:szCs w:val="18"/>
          <w:lang w:val="en-US"/>
        </w:rPr>
        <w:t>properties</w:t>
      </w:r>
      <w:r w:rsidR="005270D6" w:rsidRPr="00E75B0C">
        <w:rPr>
          <w:rFonts w:ascii="Verdana" w:hAnsi="Verdana"/>
          <w:sz w:val="18"/>
          <w:szCs w:val="18"/>
        </w:rPr>
        <w:t>)</w:t>
      </w:r>
      <w:r w:rsidRPr="00E75B0C">
        <w:rPr>
          <w:rFonts w:ascii="Verdana" w:hAnsi="Verdana"/>
          <w:sz w:val="18"/>
          <w:szCs w:val="18"/>
        </w:rPr>
        <w:t xml:space="preserve">. </w:t>
      </w:r>
    </w:p>
    <w:p w:rsidR="002A4824" w:rsidRPr="00E75B0C" w:rsidRDefault="002A4824" w:rsidP="004D5D96">
      <w:pPr>
        <w:spacing w:line="240" w:lineRule="auto"/>
        <w:rPr>
          <w:rFonts w:ascii="Verdana" w:hAnsi="Verdana"/>
          <w:sz w:val="18"/>
          <w:szCs w:val="18"/>
        </w:rPr>
      </w:pPr>
      <w:r w:rsidRPr="00E75B0C">
        <w:rPr>
          <w:rFonts w:ascii="Verdana" w:hAnsi="Verdana"/>
          <w:sz w:val="18"/>
          <w:szCs w:val="18"/>
        </w:rPr>
        <w:t xml:space="preserve">Τα </w:t>
      </w:r>
      <w:r w:rsidRPr="00E75B0C">
        <w:rPr>
          <w:rFonts w:ascii="Verdana" w:hAnsi="Verdana"/>
          <w:sz w:val="18"/>
          <w:szCs w:val="18"/>
          <w:lang w:val="en-US"/>
        </w:rPr>
        <w:t>business</w:t>
      </w:r>
      <w:r w:rsidRPr="00E75B0C">
        <w:rPr>
          <w:rFonts w:ascii="Verdana" w:hAnsi="Verdana"/>
          <w:sz w:val="18"/>
          <w:szCs w:val="18"/>
        </w:rPr>
        <w:t xml:space="preserve"> </w:t>
      </w:r>
      <w:r w:rsidRPr="00E75B0C">
        <w:rPr>
          <w:rFonts w:ascii="Verdana" w:hAnsi="Verdana"/>
          <w:sz w:val="18"/>
          <w:szCs w:val="18"/>
          <w:lang w:val="en-US"/>
        </w:rPr>
        <w:t>rates</w:t>
      </w:r>
      <w:r w:rsidRPr="00E75B0C">
        <w:rPr>
          <w:rFonts w:ascii="Verdana" w:hAnsi="Verdana"/>
          <w:sz w:val="18"/>
          <w:szCs w:val="18"/>
        </w:rPr>
        <w:t xml:space="preserve"> ου</w:t>
      </w:r>
      <w:r w:rsidR="0029622A" w:rsidRPr="00E75B0C">
        <w:rPr>
          <w:rFonts w:ascii="Verdana" w:hAnsi="Verdana"/>
          <w:sz w:val="18"/>
          <w:szCs w:val="18"/>
        </w:rPr>
        <w:t>σιαστικά είναι ένας συντελεστής</w:t>
      </w:r>
      <w:r w:rsidRPr="00E75B0C">
        <w:rPr>
          <w:rFonts w:ascii="Verdana" w:hAnsi="Verdana"/>
          <w:sz w:val="18"/>
          <w:szCs w:val="18"/>
        </w:rPr>
        <w:t xml:space="preserve"> καθοριζόμενος απ’ το κεντρικό κράτος. Τα σχετικά έσοδα συλλέγονται απ’ τους δήμους, αποδίδονται στο κεντρικό κράτος, το οποίο και τα κατανέμει στους δήμους αναλόγως του πληθυσμού εκάστου. </w:t>
      </w:r>
    </w:p>
    <w:p w:rsidR="001D4E15" w:rsidRPr="00E75B0C" w:rsidRDefault="00BB3D37" w:rsidP="004D5D96">
      <w:pPr>
        <w:spacing w:line="240" w:lineRule="auto"/>
        <w:rPr>
          <w:rFonts w:ascii="Verdana" w:hAnsi="Verdana"/>
          <w:sz w:val="18"/>
          <w:szCs w:val="18"/>
        </w:rPr>
      </w:pPr>
      <w:r w:rsidRPr="00E75B0C">
        <w:rPr>
          <w:rFonts w:ascii="Verdana" w:hAnsi="Verdana"/>
          <w:sz w:val="18"/>
          <w:szCs w:val="18"/>
        </w:rPr>
        <w:t>Όσον</w:t>
      </w:r>
      <w:r w:rsidR="002A4824" w:rsidRPr="00E75B0C">
        <w:rPr>
          <w:rFonts w:ascii="Verdana" w:hAnsi="Verdana"/>
          <w:sz w:val="18"/>
          <w:szCs w:val="18"/>
        </w:rPr>
        <w:t xml:space="preserve"> αφορά </w:t>
      </w:r>
      <w:r w:rsidR="0029622A" w:rsidRPr="00E75B0C">
        <w:rPr>
          <w:rFonts w:ascii="Verdana" w:hAnsi="Verdana"/>
          <w:sz w:val="18"/>
          <w:szCs w:val="18"/>
        </w:rPr>
        <w:t>σ</w:t>
      </w:r>
      <w:r w:rsidR="002A4824" w:rsidRPr="00E75B0C">
        <w:rPr>
          <w:rFonts w:ascii="Verdana" w:hAnsi="Verdana"/>
          <w:sz w:val="18"/>
          <w:szCs w:val="18"/>
        </w:rPr>
        <w:t xml:space="preserve">τον </w:t>
      </w:r>
      <w:r w:rsidR="002A4824" w:rsidRPr="00E75B0C">
        <w:rPr>
          <w:rFonts w:ascii="Verdana" w:hAnsi="Verdana"/>
          <w:sz w:val="18"/>
          <w:szCs w:val="18"/>
          <w:lang w:val="en-US"/>
        </w:rPr>
        <w:t>Council</w:t>
      </w:r>
      <w:r w:rsidR="002A4824" w:rsidRPr="00E75B0C">
        <w:rPr>
          <w:rFonts w:ascii="Verdana" w:hAnsi="Verdana"/>
          <w:sz w:val="18"/>
          <w:szCs w:val="18"/>
        </w:rPr>
        <w:t xml:space="preserve"> </w:t>
      </w:r>
      <w:r w:rsidR="002A4824" w:rsidRPr="00E75B0C">
        <w:rPr>
          <w:rFonts w:ascii="Verdana" w:hAnsi="Verdana"/>
          <w:sz w:val="18"/>
          <w:szCs w:val="18"/>
          <w:lang w:val="en-US"/>
        </w:rPr>
        <w:t>Tax</w:t>
      </w:r>
      <w:r w:rsidR="002A4824" w:rsidRPr="00E75B0C">
        <w:rPr>
          <w:rFonts w:ascii="Verdana" w:hAnsi="Verdana"/>
          <w:sz w:val="18"/>
          <w:szCs w:val="18"/>
        </w:rPr>
        <w:t>, οι δήμοι κατανέμουν τις κατοικίες στην περιοχή εκάστου σε 8 κατηγορίες (</w:t>
      </w:r>
      <w:r w:rsidR="004D3C9A" w:rsidRPr="00E75B0C">
        <w:rPr>
          <w:rFonts w:ascii="Verdana" w:hAnsi="Verdana"/>
          <w:sz w:val="18"/>
          <w:szCs w:val="18"/>
        </w:rPr>
        <w:t>Α έως Η</w:t>
      </w:r>
      <w:r w:rsidR="000E547D" w:rsidRPr="00E75B0C">
        <w:rPr>
          <w:rFonts w:ascii="Verdana" w:hAnsi="Verdana"/>
          <w:sz w:val="18"/>
          <w:szCs w:val="18"/>
        </w:rPr>
        <w:t>) στην Αγγλία, ή 9 (</w:t>
      </w:r>
      <w:r w:rsidR="004D3C9A" w:rsidRPr="00E75B0C">
        <w:rPr>
          <w:rFonts w:ascii="Verdana" w:hAnsi="Verdana"/>
          <w:sz w:val="18"/>
          <w:szCs w:val="18"/>
        </w:rPr>
        <w:t>Α έως Ι</w:t>
      </w:r>
      <w:r w:rsidR="000E547D" w:rsidRPr="00E75B0C">
        <w:rPr>
          <w:rFonts w:ascii="Verdana" w:hAnsi="Verdana"/>
          <w:sz w:val="18"/>
          <w:szCs w:val="18"/>
        </w:rPr>
        <w:t>)</w:t>
      </w:r>
      <w:r w:rsidR="004D3C9A" w:rsidRPr="00E75B0C">
        <w:rPr>
          <w:rFonts w:ascii="Verdana" w:hAnsi="Verdana"/>
          <w:sz w:val="18"/>
          <w:szCs w:val="18"/>
        </w:rPr>
        <w:t xml:space="preserve"> στην </w:t>
      </w:r>
      <w:r w:rsidRPr="00E75B0C">
        <w:rPr>
          <w:rFonts w:ascii="Verdana" w:hAnsi="Verdana"/>
          <w:sz w:val="18"/>
          <w:szCs w:val="18"/>
        </w:rPr>
        <w:t>Ουαλία</w:t>
      </w:r>
      <w:r w:rsidR="002A4824" w:rsidRPr="00E75B0C">
        <w:rPr>
          <w:rFonts w:ascii="Verdana" w:hAnsi="Verdana"/>
          <w:sz w:val="18"/>
          <w:szCs w:val="18"/>
        </w:rPr>
        <w:t>, βάσει εκτιμήσεων</w:t>
      </w:r>
      <w:r w:rsidR="000E547D" w:rsidRPr="00E75B0C">
        <w:rPr>
          <w:rFonts w:ascii="Verdana" w:hAnsi="Verdana"/>
          <w:sz w:val="18"/>
          <w:szCs w:val="18"/>
        </w:rPr>
        <w:t xml:space="preserve"> των αγοραίων αξιών</w:t>
      </w:r>
      <w:r w:rsidR="002A4824" w:rsidRPr="00E75B0C">
        <w:rPr>
          <w:rFonts w:ascii="Verdana" w:hAnsi="Verdana"/>
          <w:sz w:val="18"/>
          <w:szCs w:val="18"/>
        </w:rPr>
        <w:t>, που έγιναν το 1991 σε Αγγλία κ</w:t>
      </w:r>
      <w:r w:rsidR="000E547D" w:rsidRPr="00E75B0C">
        <w:rPr>
          <w:rFonts w:ascii="Verdana" w:hAnsi="Verdana"/>
          <w:sz w:val="18"/>
          <w:szCs w:val="18"/>
        </w:rPr>
        <w:t xml:space="preserve">αι Σκωτία, το 2003 σε </w:t>
      </w:r>
      <w:r w:rsidRPr="00E75B0C">
        <w:rPr>
          <w:rFonts w:ascii="Verdana" w:hAnsi="Verdana"/>
          <w:sz w:val="18"/>
          <w:szCs w:val="18"/>
        </w:rPr>
        <w:t>Ουαλία</w:t>
      </w:r>
      <w:r w:rsidR="000E547D" w:rsidRPr="00E75B0C">
        <w:rPr>
          <w:rFonts w:ascii="Verdana" w:hAnsi="Verdana"/>
          <w:sz w:val="18"/>
          <w:szCs w:val="18"/>
        </w:rPr>
        <w:t>. Ο φόρος, που επιβάλλει κάθε δήμος</w:t>
      </w:r>
      <w:r w:rsidR="0029622A" w:rsidRPr="00E75B0C">
        <w:rPr>
          <w:rFonts w:ascii="Verdana" w:hAnsi="Verdana"/>
          <w:sz w:val="18"/>
          <w:szCs w:val="18"/>
        </w:rPr>
        <w:t>,</w:t>
      </w:r>
      <w:r w:rsidR="000E547D" w:rsidRPr="00E75B0C">
        <w:rPr>
          <w:rFonts w:ascii="Verdana" w:hAnsi="Verdana"/>
          <w:sz w:val="18"/>
          <w:szCs w:val="18"/>
        </w:rPr>
        <w:t xml:space="preserve"> αναλόγως των αναγκών του, καθορίζεται σε πολύ σημαντικό βαθμό απ’ το σε ποιά κατηγορία εντάσσεται ένα ακίνητο, καθώς </w:t>
      </w:r>
      <w:r w:rsidR="0029622A" w:rsidRPr="00E75B0C">
        <w:rPr>
          <w:rFonts w:ascii="Verdana" w:hAnsi="Verdana"/>
          <w:sz w:val="18"/>
          <w:szCs w:val="18"/>
        </w:rPr>
        <w:t>οι</w:t>
      </w:r>
      <w:r w:rsidR="000E547D" w:rsidRPr="00E75B0C">
        <w:rPr>
          <w:rFonts w:ascii="Verdana" w:hAnsi="Verdana"/>
          <w:sz w:val="18"/>
          <w:szCs w:val="18"/>
        </w:rPr>
        <w:t xml:space="preserve"> σχέσεις μεταξύ των κατηγοριών είναι σταθερές. (Δηλ. αν βάλεις χαμηλό φόρο στην κατηγορία Α – την </w:t>
      </w:r>
      <w:r w:rsidRPr="00E75B0C">
        <w:rPr>
          <w:rFonts w:ascii="Verdana" w:hAnsi="Verdana"/>
          <w:sz w:val="18"/>
          <w:szCs w:val="18"/>
        </w:rPr>
        <w:t>χαμηλότερη</w:t>
      </w:r>
      <w:r w:rsidR="000E547D" w:rsidRPr="00E75B0C">
        <w:rPr>
          <w:rFonts w:ascii="Verdana" w:hAnsi="Verdana"/>
          <w:sz w:val="18"/>
          <w:szCs w:val="18"/>
        </w:rPr>
        <w:t>-</w:t>
      </w:r>
      <w:r w:rsidRPr="00E75B0C">
        <w:rPr>
          <w:rFonts w:ascii="Verdana" w:hAnsi="Verdana"/>
          <w:sz w:val="18"/>
          <w:szCs w:val="18"/>
        </w:rPr>
        <w:t xml:space="preserve"> </w:t>
      </w:r>
      <w:r w:rsidR="000E547D" w:rsidRPr="00E75B0C">
        <w:rPr>
          <w:rFonts w:ascii="Verdana" w:hAnsi="Verdana"/>
          <w:sz w:val="18"/>
          <w:szCs w:val="18"/>
        </w:rPr>
        <w:t xml:space="preserve">θα πρέπει να βάλεις σχετικά χαμηλό φόρο στην κατηγορία Η – την </w:t>
      </w:r>
      <w:r w:rsidR="00DB0BD2" w:rsidRPr="00E75B0C">
        <w:rPr>
          <w:rFonts w:ascii="Verdana" w:hAnsi="Verdana"/>
          <w:sz w:val="18"/>
          <w:szCs w:val="18"/>
        </w:rPr>
        <w:t>υψηλότερη</w:t>
      </w:r>
      <w:r w:rsidR="000E547D" w:rsidRPr="00E75B0C">
        <w:rPr>
          <w:rFonts w:ascii="Verdana" w:hAnsi="Verdana"/>
          <w:sz w:val="18"/>
          <w:szCs w:val="18"/>
        </w:rPr>
        <w:t>. Ασφαλώς και ο φόρος στην</w:t>
      </w:r>
      <w:r w:rsidR="00DB0BD2" w:rsidRPr="00E75B0C">
        <w:rPr>
          <w:rFonts w:ascii="Verdana" w:hAnsi="Verdana"/>
          <w:sz w:val="18"/>
          <w:szCs w:val="18"/>
        </w:rPr>
        <w:t xml:space="preserve"> </w:t>
      </w:r>
      <w:r w:rsidR="000E547D" w:rsidRPr="00E75B0C">
        <w:rPr>
          <w:rFonts w:ascii="Verdana" w:hAnsi="Verdana"/>
          <w:sz w:val="18"/>
          <w:szCs w:val="18"/>
        </w:rPr>
        <w:t>Η θα είναι μεγαλύτερ</w:t>
      </w:r>
      <w:r w:rsidR="00DB0BD2" w:rsidRPr="00E75B0C">
        <w:rPr>
          <w:rFonts w:ascii="Verdana" w:hAnsi="Verdana"/>
          <w:sz w:val="18"/>
          <w:szCs w:val="18"/>
        </w:rPr>
        <w:t xml:space="preserve">ος απ’ τον φόρο στην Α, μα δεν </w:t>
      </w:r>
      <w:r w:rsidR="000E547D" w:rsidRPr="00E75B0C">
        <w:rPr>
          <w:rFonts w:ascii="Verdana" w:hAnsi="Verdana"/>
          <w:sz w:val="18"/>
          <w:szCs w:val="18"/>
        </w:rPr>
        <w:t xml:space="preserve">μπορεί να είναι αυθαίρετος: πρέπει να προκύπτει απ’ την </w:t>
      </w:r>
      <w:r w:rsidR="00DB0BD2" w:rsidRPr="00E75B0C">
        <w:rPr>
          <w:rFonts w:ascii="Verdana" w:hAnsi="Verdana"/>
          <w:sz w:val="18"/>
          <w:szCs w:val="18"/>
        </w:rPr>
        <w:t>ισχύουσα</w:t>
      </w:r>
      <w:r w:rsidR="000E547D" w:rsidRPr="00E75B0C">
        <w:rPr>
          <w:rFonts w:ascii="Verdana" w:hAnsi="Verdana"/>
          <w:sz w:val="18"/>
          <w:szCs w:val="18"/>
        </w:rPr>
        <w:t xml:space="preserve"> αναλογική </w:t>
      </w:r>
      <w:r w:rsidR="00AB3E8F" w:rsidRPr="00E75B0C">
        <w:rPr>
          <w:rFonts w:ascii="Verdana" w:hAnsi="Verdana"/>
          <w:sz w:val="18"/>
          <w:szCs w:val="18"/>
        </w:rPr>
        <w:t>σχέση</w:t>
      </w:r>
      <w:r w:rsidR="000E547D" w:rsidRPr="00E75B0C">
        <w:rPr>
          <w:rFonts w:ascii="Verdana" w:hAnsi="Verdana"/>
          <w:sz w:val="18"/>
          <w:szCs w:val="18"/>
        </w:rPr>
        <w:t xml:space="preserve"> μεταξύ των κατηγοριών.)</w:t>
      </w:r>
    </w:p>
    <w:p w:rsidR="000E547D" w:rsidRPr="00E75B0C" w:rsidRDefault="000E547D" w:rsidP="000E547D">
      <w:pPr>
        <w:spacing w:line="240" w:lineRule="auto"/>
        <w:rPr>
          <w:rFonts w:ascii="Verdana" w:hAnsi="Verdana"/>
          <w:sz w:val="18"/>
          <w:szCs w:val="18"/>
        </w:rPr>
      </w:pPr>
      <w:r w:rsidRPr="00E75B0C">
        <w:rPr>
          <w:rFonts w:ascii="Verdana" w:hAnsi="Verdana"/>
          <w:sz w:val="18"/>
          <w:szCs w:val="18"/>
        </w:rPr>
        <w:t>Στην Αγγλία η σχέση αυτή (των 8 κατηγοριών μεταξύ των) είναι:</w:t>
      </w:r>
    </w:p>
    <w:p w:rsidR="000E547D" w:rsidRPr="00E75B0C" w:rsidRDefault="000E547D" w:rsidP="000E547D">
      <w:pPr>
        <w:spacing w:line="240" w:lineRule="auto"/>
        <w:rPr>
          <w:rFonts w:ascii="Verdana"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
        <w:gridCol w:w="2100"/>
        <w:gridCol w:w="988"/>
        <w:gridCol w:w="1194"/>
        <w:gridCol w:w="1545"/>
      </w:tblGrid>
      <w:tr w:rsidR="000E547D" w:rsidRPr="00E75B0C" w:rsidTr="000E547D">
        <w:trPr>
          <w:tblCellSpacing w:w="15" w:type="dxa"/>
        </w:trPr>
        <w:tc>
          <w:tcPr>
            <w:tcW w:w="0" w:type="auto"/>
            <w:tcBorders>
              <w:top w:val="single" w:sz="4" w:space="0" w:color="auto"/>
              <w:left w:val="single" w:sz="4" w:space="0" w:color="auto"/>
            </w:tcBorders>
            <w:vAlign w:val="center"/>
            <w:hideMark/>
          </w:tcPr>
          <w:p w:rsidR="000E547D" w:rsidRPr="00E75B0C" w:rsidRDefault="00612513" w:rsidP="00612513">
            <w:pPr>
              <w:spacing w:after="0" w:line="240" w:lineRule="auto"/>
              <w:jc w:val="center"/>
              <w:rPr>
                <w:rFonts w:ascii="Verdana" w:eastAsia="Times New Roman" w:hAnsi="Verdana" w:cs="Times New Roman"/>
                <w:b/>
                <w:bCs/>
                <w:sz w:val="18"/>
                <w:szCs w:val="18"/>
                <w:lang w:eastAsia="el-GR"/>
              </w:rPr>
            </w:pPr>
            <w:r w:rsidRPr="00E75B0C">
              <w:rPr>
                <w:rFonts w:ascii="Verdana" w:eastAsia="Times New Roman" w:hAnsi="Verdana" w:cs="Times New Roman"/>
                <w:b/>
                <w:bCs/>
                <w:sz w:val="18"/>
                <w:szCs w:val="18"/>
                <w:lang w:eastAsia="el-GR"/>
              </w:rPr>
              <w:t>Κατηγορία</w:t>
            </w:r>
          </w:p>
        </w:tc>
        <w:tc>
          <w:tcPr>
            <w:tcW w:w="0" w:type="auto"/>
            <w:tcBorders>
              <w:top w:val="single" w:sz="4" w:space="0" w:color="auto"/>
            </w:tcBorders>
            <w:vAlign w:val="center"/>
            <w:hideMark/>
          </w:tcPr>
          <w:p w:rsidR="000E547D" w:rsidRPr="00E75B0C" w:rsidRDefault="00612513" w:rsidP="00612513">
            <w:pPr>
              <w:spacing w:after="0" w:line="240" w:lineRule="auto"/>
              <w:jc w:val="center"/>
              <w:rPr>
                <w:rFonts w:ascii="Verdana" w:eastAsia="Times New Roman" w:hAnsi="Verdana" w:cs="Times New Roman"/>
                <w:b/>
                <w:bCs/>
                <w:sz w:val="18"/>
                <w:szCs w:val="18"/>
                <w:lang w:eastAsia="el-GR"/>
              </w:rPr>
            </w:pPr>
            <w:r w:rsidRPr="00E75B0C">
              <w:rPr>
                <w:rFonts w:ascii="Verdana" w:eastAsia="Times New Roman" w:hAnsi="Verdana" w:cs="Times New Roman"/>
                <w:b/>
                <w:bCs/>
                <w:sz w:val="18"/>
                <w:szCs w:val="18"/>
                <w:lang w:eastAsia="el-GR"/>
              </w:rPr>
              <w:t>Αξία</w:t>
            </w:r>
          </w:p>
        </w:tc>
        <w:tc>
          <w:tcPr>
            <w:tcW w:w="777" w:type="dxa"/>
            <w:tcBorders>
              <w:top w:val="single" w:sz="4" w:space="0" w:color="auto"/>
            </w:tcBorders>
            <w:vAlign w:val="center"/>
            <w:hideMark/>
          </w:tcPr>
          <w:p w:rsidR="000E547D" w:rsidRPr="00E75B0C" w:rsidRDefault="00612513" w:rsidP="00612513">
            <w:pPr>
              <w:spacing w:after="0" w:line="240" w:lineRule="auto"/>
              <w:jc w:val="center"/>
              <w:rPr>
                <w:rFonts w:ascii="Verdana" w:eastAsia="Times New Roman" w:hAnsi="Verdana" w:cs="Times New Roman"/>
                <w:b/>
                <w:bCs/>
                <w:sz w:val="18"/>
                <w:szCs w:val="18"/>
                <w:lang w:eastAsia="el-GR"/>
              </w:rPr>
            </w:pPr>
            <w:r w:rsidRPr="00E75B0C">
              <w:rPr>
                <w:rFonts w:ascii="Verdana" w:eastAsia="Times New Roman" w:hAnsi="Verdana" w:cs="Times New Roman"/>
                <w:b/>
                <w:bCs/>
                <w:sz w:val="18"/>
                <w:szCs w:val="18"/>
                <w:lang w:eastAsia="el-GR"/>
              </w:rPr>
              <w:t>Αναλογία</w:t>
            </w:r>
          </w:p>
        </w:tc>
        <w:tc>
          <w:tcPr>
            <w:tcW w:w="1164" w:type="dxa"/>
            <w:tcBorders>
              <w:top w:val="single" w:sz="4" w:space="0" w:color="auto"/>
            </w:tcBorders>
            <w:vAlign w:val="center"/>
            <w:hideMark/>
          </w:tcPr>
          <w:p w:rsidR="000E547D" w:rsidRPr="00E75B0C" w:rsidRDefault="00612513" w:rsidP="00612513">
            <w:pPr>
              <w:spacing w:after="0" w:line="240" w:lineRule="auto"/>
              <w:jc w:val="center"/>
              <w:rPr>
                <w:rFonts w:ascii="Verdana" w:eastAsia="Times New Roman" w:hAnsi="Verdana" w:cs="Times New Roman"/>
                <w:b/>
                <w:bCs/>
                <w:sz w:val="18"/>
                <w:szCs w:val="18"/>
                <w:lang w:eastAsia="el-GR"/>
              </w:rPr>
            </w:pPr>
            <w:r w:rsidRPr="00E75B0C">
              <w:rPr>
                <w:rFonts w:ascii="Verdana" w:eastAsia="Times New Roman" w:hAnsi="Verdana" w:cs="Times New Roman"/>
                <w:b/>
                <w:bCs/>
                <w:sz w:val="18"/>
                <w:szCs w:val="18"/>
                <w:lang w:eastAsia="el-GR"/>
              </w:rPr>
              <w:t>Ποσοστό</w:t>
            </w:r>
          </w:p>
        </w:tc>
        <w:tc>
          <w:tcPr>
            <w:tcW w:w="0" w:type="auto"/>
            <w:tcBorders>
              <w:top w:val="single" w:sz="4" w:space="0" w:color="auto"/>
              <w:right w:val="single" w:sz="4" w:space="0" w:color="auto"/>
            </w:tcBorders>
            <w:vAlign w:val="center"/>
            <w:hideMark/>
          </w:tcPr>
          <w:p w:rsidR="000E547D" w:rsidRPr="00E75B0C" w:rsidRDefault="00612513" w:rsidP="00612513">
            <w:pPr>
              <w:spacing w:after="0" w:line="240" w:lineRule="auto"/>
              <w:jc w:val="center"/>
              <w:rPr>
                <w:rFonts w:ascii="Verdana" w:eastAsia="Times New Roman" w:hAnsi="Verdana" w:cs="Times New Roman"/>
                <w:b/>
                <w:bCs/>
                <w:sz w:val="18"/>
                <w:szCs w:val="18"/>
                <w:lang w:val="en-US" w:eastAsia="el-GR"/>
              </w:rPr>
            </w:pPr>
            <w:r w:rsidRPr="00E75B0C">
              <w:rPr>
                <w:rFonts w:ascii="Verdana" w:eastAsia="Times New Roman" w:hAnsi="Verdana" w:cs="Times New Roman"/>
                <w:b/>
                <w:bCs/>
                <w:sz w:val="18"/>
                <w:szCs w:val="18"/>
                <w:lang w:eastAsia="el-GR"/>
              </w:rPr>
              <w:t>Μέσος φόρος*</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A</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proofErr w:type="spellStart"/>
            <w:r w:rsidRPr="00E75B0C">
              <w:rPr>
                <w:rFonts w:ascii="Verdana" w:eastAsia="Times New Roman" w:hAnsi="Verdana" w:cs="Times New Roman"/>
                <w:sz w:val="18"/>
                <w:szCs w:val="18"/>
                <w:lang w:eastAsia="el-GR"/>
              </w:rPr>
              <w:t>up</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£40,000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6/9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67%</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£845</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B</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£40,001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£52,000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7/9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78%</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£986</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C</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£52,001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£68,000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8/9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89%</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£1,127</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D</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£68,001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£88,000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9/9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100%</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£1,268</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E</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£88,001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£120,000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11/9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122%</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£1,550</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F</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£120,001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£160,000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13/9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144%</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£1,832</w:t>
            </w:r>
          </w:p>
        </w:tc>
      </w:tr>
      <w:tr w:rsidR="000E547D" w:rsidRPr="00E75B0C" w:rsidTr="000E547D">
        <w:trPr>
          <w:tblCellSpacing w:w="15" w:type="dxa"/>
        </w:trPr>
        <w:tc>
          <w:tcPr>
            <w:tcW w:w="0" w:type="auto"/>
            <w:tcBorders>
              <w:lef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G</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£160,001 </w:t>
            </w:r>
            <w:proofErr w:type="spellStart"/>
            <w:r w:rsidRPr="00E75B0C">
              <w:rPr>
                <w:rFonts w:ascii="Verdana" w:eastAsia="Times New Roman" w:hAnsi="Verdana" w:cs="Times New Roman"/>
                <w:sz w:val="18"/>
                <w:szCs w:val="18"/>
                <w:lang w:eastAsia="el-GR"/>
              </w:rPr>
              <w:t>to</w:t>
            </w:r>
            <w:proofErr w:type="spellEnd"/>
            <w:r w:rsidRPr="00E75B0C">
              <w:rPr>
                <w:rFonts w:ascii="Verdana" w:eastAsia="Times New Roman" w:hAnsi="Verdana" w:cs="Times New Roman"/>
                <w:sz w:val="18"/>
                <w:szCs w:val="18"/>
                <w:lang w:eastAsia="el-GR"/>
              </w:rPr>
              <w:t xml:space="preserve"> £320,000</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15/9</w:t>
            </w:r>
          </w:p>
        </w:tc>
        <w:tc>
          <w:tcPr>
            <w:tcW w:w="0" w:type="auto"/>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167%</w:t>
            </w:r>
          </w:p>
        </w:tc>
        <w:tc>
          <w:tcPr>
            <w:tcW w:w="0" w:type="auto"/>
            <w:tcBorders>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£2,113</w:t>
            </w:r>
          </w:p>
        </w:tc>
      </w:tr>
      <w:tr w:rsidR="000E547D" w:rsidRPr="00E75B0C" w:rsidTr="000E547D">
        <w:trPr>
          <w:tblCellSpacing w:w="15" w:type="dxa"/>
        </w:trPr>
        <w:tc>
          <w:tcPr>
            <w:tcW w:w="0" w:type="auto"/>
            <w:tcBorders>
              <w:left w:val="single" w:sz="4" w:space="0" w:color="auto"/>
              <w:bottom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H</w:t>
            </w:r>
          </w:p>
        </w:tc>
        <w:tc>
          <w:tcPr>
            <w:tcW w:w="0" w:type="auto"/>
            <w:tcBorders>
              <w:bottom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 xml:space="preserve">£320,001 </w:t>
            </w:r>
            <w:proofErr w:type="spellStart"/>
            <w:r w:rsidRPr="00E75B0C">
              <w:rPr>
                <w:rFonts w:ascii="Verdana" w:eastAsia="Times New Roman" w:hAnsi="Verdana" w:cs="Times New Roman"/>
                <w:sz w:val="18"/>
                <w:szCs w:val="18"/>
                <w:lang w:eastAsia="el-GR"/>
              </w:rPr>
              <w:t>and</w:t>
            </w:r>
            <w:proofErr w:type="spellEnd"/>
            <w:r w:rsidRPr="00E75B0C">
              <w:rPr>
                <w:rFonts w:ascii="Verdana" w:eastAsia="Times New Roman" w:hAnsi="Verdana" w:cs="Times New Roman"/>
                <w:sz w:val="18"/>
                <w:szCs w:val="18"/>
                <w:lang w:eastAsia="el-GR"/>
              </w:rPr>
              <w:t xml:space="preserve"> </w:t>
            </w:r>
            <w:proofErr w:type="spellStart"/>
            <w:r w:rsidRPr="00E75B0C">
              <w:rPr>
                <w:rFonts w:ascii="Verdana" w:eastAsia="Times New Roman" w:hAnsi="Verdana" w:cs="Times New Roman"/>
                <w:sz w:val="18"/>
                <w:szCs w:val="18"/>
                <w:lang w:eastAsia="el-GR"/>
              </w:rPr>
              <w:t>above</w:t>
            </w:r>
            <w:proofErr w:type="spellEnd"/>
          </w:p>
        </w:tc>
        <w:tc>
          <w:tcPr>
            <w:tcW w:w="0" w:type="auto"/>
            <w:tcBorders>
              <w:bottom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18/9</w:t>
            </w:r>
          </w:p>
        </w:tc>
        <w:tc>
          <w:tcPr>
            <w:tcW w:w="0" w:type="auto"/>
            <w:tcBorders>
              <w:bottom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200%</w:t>
            </w:r>
          </w:p>
        </w:tc>
        <w:tc>
          <w:tcPr>
            <w:tcW w:w="0" w:type="auto"/>
            <w:tcBorders>
              <w:bottom w:val="single" w:sz="4" w:space="0" w:color="auto"/>
              <w:right w:val="single" w:sz="4" w:space="0" w:color="auto"/>
            </w:tcBorders>
            <w:vAlign w:val="center"/>
            <w:hideMark/>
          </w:tcPr>
          <w:p w:rsidR="000E547D" w:rsidRPr="00E75B0C" w:rsidRDefault="000E547D" w:rsidP="00612513">
            <w:pPr>
              <w:spacing w:after="0" w:line="240" w:lineRule="auto"/>
              <w:jc w:val="center"/>
              <w:rPr>
                <w:rFonts w:ascii="Verdana" w:eastAsia="Times New Roman" w:hAnsi="Verdana" w:cs="Times New Roman"/>
                <w:sz w:val="18"/>
                <w:szCs w:val="18"/>
                <w:lang w:eastAsia="el-GR"/>
              </w:rPr>
            </w:pPr>
            <w:r w:rsidRPr="00E75B0C">
              <w:rPr>
                <w:rFonts w:ascii="Verdana" w:eastAsia="Times New Roman" w:hAnsi="Verdana" w:cs="Times New Roman"/>
                <w:sz w:val="18"/>
                <w:szCs w:val="18"/>
                <w:lang w:eastAsia="el-GR"/>
              </w:rPr>
              <w:t>£2,536</w:t>
            </w:r>
          </w:p>
        </w:tc>
      </w:tr>
    </w:tbl>
    <w:p w:rsidR="00612513" w:rsidRPr="00E75B0C" w:rsidRDefault="00612513" w:rsidP="00612513">
      <w:pPr>
        <w:spacing w:line="240" w:lineRule="auto"/>
        <w:rPr>
          <w:rFonts w:ascii="Verdana" w:hAnsi="Verdana"/>
          <w:sz w:val="18"/>
          <w:szCs w:val="18"/>
        </w:rPr>
      </w:pPr>
      <w:r w:rsidRPr="00E75B0C">
        <w:rPr>
          <w:rFonts w:ascii="Verdana" w:hAnsi="Verdana"/>
          <w:sz w:val="18"/>
          <w:szCs w:val="18"/>
        </w:rPr>
        <w:t xml:space="preserve">*Βάσει Μ.Ο. για την κατηγορία </w:t>
      </w:r>
      <w:r w:rsidRPr="00E75B0C">
        <w:rPr>
          <w:rFonts w:ascii="Verdana" w:hAnsi="Verdana"/>
          <w:sz w:val="18"/>
          <w:szCs w:val="18"/>
          <w:lang w:val="en-US"/>
        </w:rPr>
        <w:t>D</w:t>
      </w:r>
      <w:r w:rsidRPr="00E75B0C">
        <w:rPr>
          <w:rFonts w:ascii="Verdana" w:hAnsi="Verdana"/>
          <w:sz w:val="18"/>
          <w:szCs w:val="18"/>
        </w:rPr>
        <w:t xml:space="preserve"> το 2006.</w:t>
      </w:r>
    </w:p>
    <w:p w:rsidR="000E547D" w:rsidRPr="00E75B0C" w:rsidRDefault="00612513" w:rsidP="004D5D96">
      <w:pPr>
        <w:spacing w:line="240" w:lineRule="auto"/>
        <w:rPr>
          <w:rFonts w:ascii="Verdana" w:hAnsi="Verdana"/>
          <w:sz w:val="18"/>
          <w:szCs w:val="18"/>
        </w:rPr>
      </w:pPr>
      <w:r w:rsidRPr="00E75B0C">
        <w:rPr>
          <w:rFonts w:ascii="Verdana" w:hAnsi="Verdana"/>
          <w:sz w:val="18"/>
          <w:szCs w:val="18"/>
        </w:rPr>
        <w:t xml:space="preserve">Πηγή: </w:t>
      </w:r>
      <w:hyperlink r:id="rId31" w:history="1">
        <w:r w:rsidR="000E547D" w:rsidRPr="00E75B0C">
          <w:rPr>
            <w:rStyle w:val="-"/>
            <w:rFonts w:ascii="Verdana" w:hAnsi="Verdana"/>
            <w:sz w:val="18"/>
            <w:szCs w:val="18"/>
          </w:rPr>
          <w:t>http://en.wikipedia.org/wiki/Council_Tax</w:t>
        </w:r>
      </w:hyperlink>
    </w:p>
    <w:p w:rsidR="00612513" w:rsidRPr="00E75B0C" w:rsidRDefault="00612513" w:rsidP="004D5D96">
      <w:pPr>
        <w:spacing w:line="240" w:lineRule="auto"/>
        <w:rPr>
          <w:rFonts w:ascii="Verdana" w:hAnsi="Verdana"/>
          <w:sz w:val="18"/>
          <w:szCs w:val="18"/>
        </w:rPr>
      </w:pPr>
    </w:p>
    <w:p w:rsidR="000E547D" w:rsidRPr="00E75B0C" w:rsidRDefault="000E547D" w:rsidP="004D5D96">
      <w:pPr>
        <w:spacing w:line="240" w:lineRule="auto"/>
        <w:rPr>
          <w:rFonts w:ascii="Verdana" w:hAnsi="Verdana"/>
          <w:sz w:val="18"/>
          <w:szCs w:val="18"/>
        </w:rPr>
      </w:pPr>
      <w:r w:rsidRPr="00E75B0C">
        <w:rPr>
          <w:rFonts w:ascii="Verdana" w:hAnsi="Verdana"/>
          <w:sz w:val="18"/>
          <w:szCs w:val="18"/>
        </w:rPr>
        <w:t xml:space="preserve">Φαίνεται απ’ τον ανωτέρω πίνακα πως η κατηγορία </w:t>
      </w:r>
      <w:r w:rsidRPr="00E75B0C">
        <w:rPr>
          <w:rFonts w:ascii="Verdana" w:hAnsi="Verdana"/>
          <w:sz w:val="18"/>
          <w:szCs w:val="18"/>
          <w:lang w:val="en-US"/>
        </w:rPr>
        <w:t>D</w:t>
      </w:r>
      <w:r w:rsidRPr="00E75B0C">
        <w:rPr>
          <w:rFonts w:ascii="Verdana" w:hAnsi="Verdana"/>
          <w:sz w:val="18"/>
          <w:szCs w:val="18"/>
        </w:rPr>
        <w:t xml:space="preserve"> είναι η βάση, </w:t>
      </w:r>
      <w:r w:rsidR="0029622A" w:rsidRPr="00E75B0C">
        <w:rPr>
          <w:rFonts w:ascii="Verdana" w:hAnsi="Verdana"/>
          <w:sz w:val="18"/>
          <w:szCs w:val="18"/>
        </w:rPr>
        <w:t>οι</w:t>
      </w:r>
      <w:r w:rsidRPr="00E75B0C">
        <w:rPr>
          <w:rFonts w:ascii="Verdana" w:hAnsi="Verdana"/>
          <w:sz w:val="18"/>
          <w:szCs w:val="18"/>
        </w:rPr>
        <w:t xml:space="preserve"> άλλες κατηγορίες προσαρμόζονται κάτω ή επάνω από αυτήν. </w:t>
      </w:r>
      <w:r w:rsidR="00612513" w:rsidRPr="00E75B0C">
        <w:rPr>
          <w:rFonts w:ascii="Verdana" w:hAnsi="Verdana"/>
          <w:sz w:val="18"/>
          <w:szCs w:val="18"/>
        </w:rPr>
        <w:t xml:space="preserve">Π.χ., η κατηγορία </w:t>
      </w:r>
      <w:r w:rsidR="00612513" w:rsidRPr="00E75B0C">
        <w:rPr>
          <w:rFonts w:ascii="Verdana" w:hAnsi="Verdana"/>
          <w:sz w:val="18"/>
          <w:szCs w:val="18"/>
          <w:lang w:val="en-US"/>
        </w:rPr>
        <w:t>C</w:t>
      </w:r>
      <w:r w:rsidR="00612513" w:rsidRPr="00E75B0C">
        <w:rPr>
          <w:rFonts w:ascii="Verdana" w:hAnsi="Verdana"/>
          <w:sz w:val="18"/>
          <w:szCs w:val="18"/>
        </w:rPr>
        <w:t xml:space="preserve"> είναι τα 8/9 της </w:t>
      </w:r>
      <w:r w:rsidR="00612513" w:rsidRPr="00E75B0C">
        <w:rPr>
          <w:rFonts w:ascii="Verdana" w:hAnsi="Verdana"/>
          <w:sz w:val="18"/>
          <w:szCs w:val="18"/>
          <w:lang w:val="en-US"/>
        </w:rPr>
        <w:t>D</w:t>
      </w:r>
      <w:r w:rsidR="00612513" w:rsidRPr="00E75B0C">
        <w:rPr>
          <w:rFonts w:ascii="Verdana" w:hAnsi="Verdana"/>
          <w:sz w:val="18"/>
          <w:szCs w:val="18"/>
        </w:rPr>
        <w:t xml:space="preserve">, ;άρα το 89%. Αν ο φόρος στην </w:t>
      </w:r>
      <w:r w:rsidR="00612513" w:rsidRPr="00E75B0C">
        <w:rPr>
          <w:rFonts w:ascii="Verdana" w:hAnsi="Verdana"/>
          <w:sz w:val="18"/>
          <w:szCs w:val="18"/>
          <w:lang w:val="en-US"/>
        </w:rPr>
        <w:t>D</w:t>
      </w:r>
      <w:r w:rsidR="00612513" w:rsidRPr="00E75B0C">
        <w:rPr>
          <w:rFonts w:ascii="Verdana" w:hAnsi="Verdana"/>
          <w:sz w:val="18"/>
          <w:szCs w:val="18"/>
        </w:rPr>
        <w:t xml:space="preserve"> είναι £1,269, τότε αναγκαστικά ο φόρος στην </w:t>
      </w:r>
      <w:r w:rsidR="00612513" w:rsidRPr="00E75B0C">
        <w:rPr>
          <w:rFonts w:ascii="Verdana" w:hAnsi="Verdana"/>
          <w:sz w:val="18"/>
          <w:szCs w:val="18"/>
          <w:lang w:val="en-US"/>
        </w:rPr>
        <w:t>C</w:t>
      </w:r>
      <w:r w:rsidR="00612513" w:rsidRPr="00E75B0C">
        <w:rPr>
          <w:rFonts w:ascii="Verdana" w:hAnsi="Verdana"/>
          <w:sz w:val="18"/>
          <w:szCs w:val="18"/>
        </w:rPr>
        <w:t xml:space="preserve"> θα είναι £1,127, καθώς 1,127/1,268 = 89%. </w:t>
      </w:r>
    </w:p>
    <w:p w:rsidR="00A2166C" w:rsidRPr="00E75B0C" w:rsidRDefault="00A2166C" w:rsidP="004D5D96">
      <w:pPr>
        <w:spacing w:line="240" w:lineRule="auto"/>
        <w:rPr>
          <w:rFonts w:ascii="Verdana" w:hAnsi="Verdana"/>
          <w:b/>
          <w:sz w:val="18"/>
          <w:szCs w:val="18"/>
        </w:rPr>
      </w:pPr>
      <w:r w:rsidRPr="00E75B0C">
        <w:rPr>
          <w:rFonts w:ascii="Verdana" w:hAnsi="Verdana"/>
          <w:b/>
          <w:sz w:val="18"/>
          <w:szCs w:val="18"/>
        </w:rPr>
        <w:t>Αυτή η μεθόδευση είναι κάτι, που θα πρέπει να ληφθεί υπ’ όψιν στην Ελλάδα, όταν γίνει η ριζική αναμόρφωση του φόρου κατοχής με μεταφορά του στους δήμους.</w:t>
      </w:r>
    </w:p>
    <w:p w:rsidR="004D3C9A" w:rsidRPr="00E75B0C" w:rsidRDefault="00282E36" w:rsidP="004D5D96">
      <w:pPr>
        <w:spacing w:line="240" w:lineRule="auto"/>
        <w:rPr>
          <w:rFonts w:ascii="Verdana" w:hAnsi="Verdana"/>
          <w:sz w:val="18"/>
          <w:szCs w:val="18"/>
        </w:rPr>
      </w:pPr>
      <w:r w:rsidRPr="00E75B0C">
        <w:rPr>
          <w:rFonts w:ascii="Verdana" w:hAnsi="Verdana"/>
          <w:sz w:val="18"/>
          <w:szCs w:val="18"/>
        </w:rPr>
        <w:t>Η επιβολή του φόρου λαμβάνει υπ’ όψιν διάφορες εκπτώσεις και απαλλαγές, που έχουν θ</w:t>
      </w:r>
      <w:r w:rsidR="00DB0BD2" w:rsidRPr="00E75B0C">
        <w:rPr>
          <w:rFonts w:ascii="Verdana" w:hAnsi="Verdana"/>
          <w:sz w:val="18"/>
          <w:szCs w:val="18"/>
        </w:rPr>
        <w:t>εσπιστεί</w:t>
      </w:r>
      <w:r w:rsidRPr="00E75B0C">
        <w:rPr>
          <w:rFonts w:ascii="Verdana" w:hAnsi="Verdana"/>
          <w:sz w:val="18"/>
          <w:szCs w:val="18"/>
        </w:rPr>
        <w:t xml:space="preserve">. Π.χ., άτομα που ζουν μόνα έχουν </w:t>
      </w:r>
      <w:r w:rsidR="00DB0BD2" w:rsidRPr="00E75B0C">
        <w:rPr>
          <w:rFonts w:ascii="Verdana" w:hAnsi="Verdana"/>
          <w:sz w:val="18"/>
          <w:szCs w:val="18"/>
        </w:rPr>
        <w:t>έκπτωση</w:t>
      </w:r>
      <w:r w:rsidRPr="00E75B0C">
        <w:rPr>
          <w:rFonts w:ascii="Verdana" w:hAnsi="Verdana"/>
          <w:sz w:val="18"/>
          <w:szCs w:val="18"/>
        </w:rPr>
        <w:t xml:space="preserve"> 25% απ’ το φόρο. </w:t>
      </w:r>
      <w:r w:rsidR="0029622A" w:rsidRPr="00E75B0C">
        <w:rPr>
          <w:rFonts w:ascii="Verdana" w:hAnsi="Verdana"/>
          <w:sz w:val="18"/>
          <w:szCs w:val="18"/>
        </w:rPr>
        <w:t>Οι</w:t>
      </w:r>
      <w:r w:rsidR="00B930FF" w:rsidRPr="00E75B0C">
        <w:rPr>
          <w:rFonts w:ascii="Verdana" w:hAnsi="Verdana"/>
          <w:sz w:val="18"/>
          <w:szCs w:val="18"/>
        </w:rPr>
        <w:t xml:space="preserve"> δευτερεύουσες κατοικίες τ</w:t>
      </w:r>
      <w:r w:rsidR="00DB0BD2" w:rsidRPr="00E75B0C">
        <w:rPr>
          <w:rFonts w:ascii="Verdana" w:hAnsi="Verdana"/>
          <w:sz w:val="18"/>
          <w:szCs w:val="18"/>
        </w:rPr>
        <w:t xml:space="preserve">υγχάνουν επίσης </w:t>
      </w:r>
      <w:r w:rsidR="005E32C6" w:rsidRPr="00E75B0C">
        <w:rPr>
          <w:rFonts w:ascii="Verdana" w:hAnsi="Verdana"/>
          <w:sz w:val="18"/>
          <w:szCs w:val="18"/>
        </w:rPr>
        <w:t>έκπτωσης</w:t>
      </w:r>
      <w:r w:rsidR="00DB0BD2" w:rsidRPr="00E75B0C">
        <w:rPr>
          <w:rFonts w:ascii="Verdana" w:hAnsi="Verdana"/>
          <w:sz w:val="18"/>
          <w:szCs w:val="18"/>
        </w:rPr>
        <w:t xml:space="preserve">, που </w:t>
      </w:r>
      <w:r w:rsidR="00B930FF" w:rsidRPr="00E75B0C">
        <w:rPr>
          <w:rFonts w:ascii="Verdana" w:hAnsi="Verdana"/>
          <w:sz w:val="18"/>
          <w:szCs w:val="18"/>
        </w:rPr>
        <w:t xml:space="preserve">μπορεί να φθάσει το 50%. </w:t>
      </w:r>
    </w:p>
    <w:p w:rsidR="007D33B2" w:rsidRPr="00E75B0C" w:rsidRDefault="007D33B2" w:rsidP="004D5D96">
      <w:pPr>
        <w:spacing w:line="240" w:lineRule="auto"/>
        <w:rPr>
          <w:rFonts w:ascii="Verdana" w:hAnsi="Verdana"/>
          <w:b/>
          <w:sz w:val="18"/>
          <w:szCs w:val="18"/>
        </w:rPr>
      </w:pPr>
      <w:r w:rsidRPr="00E75B0C">
        <w:rPr>
          <w:rFonts w:ascii="Verdana" w:hAnsi="Verdana"/>
          <w:b/>
          <w:sz w:val="18"/>
          <w:szCs w:val="18"/>
        </w:rPr>
        <w:lastRenderedPageBreak/>
        <w:t>Πολύ σημαντικό: Λόγω των προβλημάτων, με τα οποία συνήθως συνδέεται ο φόρος κατοχής (κυρίως, το ότι δε λαμβάνει υπ’ όψιν</w:t>
      </w:r>
      <w:r w:rsidR="0029622A" w:rsidRPr="00E75B0C">
        <w:rPr>
          <w:rFonts w:ascii="Verdana" w:hAnsi="Verdana"/>
          <w:b/>
          <w:sz w:val="18"/>
          <w:szCs w:val="18"/>
        </w:rPr>
        <w:t xml:space="preserve"> ή λαμβάνει πολύ λίγο τη</w:t>
      </w:r>
      <w:r w:rsidRPr="00E75B0C">
        <w:rPr>
          <w:rFonts w:ascii="Verdana" w:hAnsi="Verdana"/>
          <w:b/>
          <w:sz w:val="18"/>
          <w:szCs w:val="18"/>
        </w:rPr>
        <w:t xml:space="preserve"> φοροδοτική ικανότητα), το Σκωτικό Κοινοβούλιο έχει ψηφίσει υπέρ της </w:t>
      </w:r>
      <w:r w:rsidR="0029622A" w:rsidRPr="00E75B0C">
        <w:rPr>
          <w:rFonts w:ascii="Verdana" w:hAnsi="Verdana"/>
          <w:b/>
          <w:sz w:val="18"/>
          <w:szCs w:val="18"/>
        </w:rPr>
        <w:t>αντικατάστασης</w:t>
      </w:r>
      <w:r w:rsidRPr="00E75B0C">
        <w:rPr>
          <w:rFonts w:ascii="Verdana" w:hAnsi="Verdana"/>
          <w:b/>
          <w:sz w:val="18"/>
          <w:szCs w:val="18"/>
        </w:rPr>
        <w:t xml:space="preserve"> του </w:t>
      </w:r>
      <w:r w:rsidRPr="00E75B0C">
        <w:rPr>
          <w:rFonts w:ascii="Verdana" w:hAnsi="Verdana"/>
          <w:b/>
          <w:sz w:val="18"/>
          <w:szCs w:val="18"/>
          <w:lang w:val="en-US"/>
        </w:rPr>
        <w:t>Council</w:t>
      </w:r>
      <w:r w:rsidRPr="00E75B0C">
        <w:rPr>
          <w:rFonts w:ascii="Verdana" w:hAnsi="Verdana"/>
          <w:b/>
          <w:sz w:val="18"/>
          <w:szCs w:val="18"/>
        </w:rPr>
        <w:t xml:space="preserve"> </w:t>
      </w:r>
      <w:r w:rsidRPr="00E75B0C">
        <w:rPr>
          <w:rFonts w:ascii="Verdana" w:hAnsi="Verdana"/>
          <w:b/>
          <w:sz w:val="18"/>
          <w:szCs w:val="18"/>
          <w:lang w:val="en-US"/>
        </w:rPr>
        <w:t>Tax</w:t>
      </w:r>
      <w:r w:rsidRPr="00E75B0C">
        <w:rPr>
          <w:rFonts w:ascii="Verdana" w:hAnsi="Verdana"/>
          <w:b/>
          <w:sz w:val="18"/>
          <w:szCs w:val="18"/>
        </w:rPr>
        <w:t xml:space="preserve"> από έναν τοπικό φόρο εισοδήματος (</w:t>
      </w:r>
      <w:r w:rsidRPr="00E75B0C">
        <w:rPr>
          <w:rFonts w:ascii="Verdana" w:hAnsi="Verdana"/>
          <w:b/>
          <w:sz w:val="18"/>
          <w:szCs w:val="18"/>
          <w:lang w:val="en-US"/>
        </w:rPr>
        <w:t>local</w:t>
      </w:r>
      <w:r w:rsidRPr="00E75B0C">
        <w:rPr>
          <w:rFonts w:ascii="Verdana" w:hAnsi="Verdana"/>
          <w:b/>
          <w:sz w:val="18"/>
          <w:szCs w:val="18"/>
        </w:rPr>
        <w:t xml:space="preserve"> </w:t>
      </w:r>
      <w:r w:rsidRPr="00E75B0C">
        <w:rPr>
          <w:rFonts w:ascii="Verdana" w:hAnsi="Verdana"/>
          <w:b/>
          <w:sz w:val="18"/>
          <w:szCs w:val="18"/>
          <w:lang w:val="en-US"/>
        </w:rPr>
        <w:t>income</w:t>
      </w:r>
      <w:r w:rsidRPr="00E75B0C">
        <w:rPr>
          <w:rFonts w:ascii="Verdana" w:hAnsi="Verdana"/>
          <w:b/>
          <w:sz w:val="18"/>
          <w:szCs w:val="18"/>
        </w:rPr>
        <w:t xml:space="preserve"> </w:t>
      </w:r>
      <w:r w:rsidRPr="00E75B0C">
        <w:rPr>
          <w:rFonts w:ascii="Verdana" w:hAnsi="Verdana"/>
          <w:b/>
          <w:sz w:val="18"/>
          <w:szCs w:val="18"/>
          <w:lang w:val="en-US"/>
        </w:rPr>
        <w:t>tax</w:t>
      </w:r>
      <w:r w:rsidRPr="00E75B0C">
        <w:rPr>
          <w:rFonts w:ascii="Verdana" w:hAnsi="Verdana"/>
          <w:b/>
          <w:sz w:val="18"/>
          <w:szCs w:val="18"/>
        </w:rPr>
        <w:t xml:space="preserve">). Αυτό είναι κάτι που ισχυροποιεί την </w:t>
      </w:r>
      <w:r w:rsidR="00DB0BD2" w:rsidRPr="00E75B0C">
        <w:rPr>
          <w:rFonts w:ascii="Verdana" w:hAnsi="Verdana"/>
          <w:b/>
          <w:sz w:val="18"/>
          <w:szCs w:val="18"/>
        </w:rPr>
        <w:t>άποψη</w:t>
      </w:r>
      <w:r w:rsidRPr="00E75B0C">
        <w:rPr>
          <w:rFonts w:ascii="Verdana" w:hAnsi="Verdana"/>
          <w:b/>
          <w:sz w:val="18"/>
          <w:szCs w:val="18"/>
        </w:rPr>
        <w:t xml:space="preserve"> ότι το ίδιο θα έπ</w:t>
      </w:r>
      <w:r w:rsidR="0029622A" w:rsidRPr="00E75B0C">
        <w:rPr>
          <w:rFonts w:ascii="Verdana" w:hAnsi="Verdana"/>
          <w:b/>
          <w:sz w:val="18"/>
          <w:szCs w:val="18"/>
        </w:rPr>
        <w:t>ρεπε να γίνει στην Ελλάδα με το</w:t>
      </w:r>
      <w:r w:rsidRPr="00E75B0C">
        <w:rPr>
          <w:rFonts w:ascii="Verdana" w:hAnsi="Verdana"/>
          <w:b/>
          <w:sz w:val="18"/>
          <w:szCs w:val="18"/>
        </w:rPr>
        <w:t xml:space="preserve"> φόρο κατοχής ακινήτων (όποιο όνομα κι αν έχει). </w:t>
      </w:r>
      <w:r w:rsidRPr="00E75B0C">
        <w:rPr>
          <w:rFonts w:ascii="Verdana" w:hAnsi="Verdana"/>
          <w:sz w:val="18"/>
          <w:szCs w:val="18"/>
        </w:rPr>
        <w:t>Πηγή:</w:t>
      </w:r>
      <w:r w:rsidRPr="00E75B0C">
        <w:rPr>
          <w:rFonts w:ascii="Verdana" w:hAnsi="Verdana"/>
          <w:b/>
          <w:sz w:val="18"/>
          <w:szCs w:val="18"/>
        </w:rPr>
        <w:t xml:space="preserve"> </w:t>
      </w:r>
      <w:hyperlink r:id="rId32" w:history="1">
        <w:r w:rsidRPr="00E75B0C">
          <w:rPr>
            <w:rStyle w:val="-"/>
            <w:rFonts w:ascii="Verdana" w:hAnsi="Verdana"/>
            <w:sz w:val="18"/>
            <w:szCs w:val="18"/>
          </w:rPr>
          <w:t>http://en.wikipedia.org/wiki/Local_income_tax</w:t>
        </w:r>
      </w:hyperlink>
      <w:r w:rsidRPr="00E75B0C">
        <w:rPr>
          <w:rFonts w:ascii="Verdana" w:hAnsi="Verdana"/>
          <w:sz w:val="18"/>
          <w:szCs w:val="18"/>
        </w:rPr>
        <w:t>.</w:t>
      </w:r>
    </w:p>
    <w:p w:rsidR="007D33B2" w:rsidRPr="00E75B0C" w:rsidRDefault="00352561" w:rsidP="004D5D96">
      <w:pPr>
        <w:spacing w:line="240" w:lineRule="auto"/>
        <w:rPr>
          <w:rFonts w:ascii="Verdana" w:hAnsi="Verdana"/>
          <w:sz w:val="18"/>
          <w:szCs w:val="18"/>
        </w:rPr>
      </w:pPr>
      <w:r w:rsidRPr="00E75B0C">
        <w:rPr>
          <w:rFonts w:ascii="Verdana" w:hAnsi="Verdana"/>
          <w:sz w:val="18"/>
          <w:szCs w:val="18"/>
        </w:rPr>
        <w:t xml:space="preserve">Υπ’ όψιν ότι τον </w:t>
      </w:r>
      <w:r w:rsidRPr="00E75B0C">
        <w:rPr>
          <w:rFonts w:ascii="Verdana" w:hAnsi="Verdana"/>
          <w:sz w:val="18"/>
          <w:szCs w:val="18"/>
          <w:lang w:val="en-US"/>
        </w:rPr>
        <w:t>Council</w:t>
      </w:r>
      <w:r w:rsidRPr="00E75B0C">
        <w:rPr>
          <w:rFonts w:ascii="Verdana" w:hAnsi="Verdana"/>
          <w:sz w:val="18"/>
          <w:szCs w:val="18"/>
        </w:rPr>
        <w:t xml:space="preserve"> </w:t>
      </w:r>
      <w:r w:rsidRPr="00E75B0C">
        <w:rPr>
          <w:rFonts w:ascii="Verdana" w:hAnsi="Verdana"/>
          <w:sz w:val="18"/>
          <w:szCs w:val="18"/>
          <w:lang w:val="en-US"/>
        </w:rPr>
        <w:t>Tax</w:t>
      </w:r>
      <w:r w:rsidRPr="00E75B0C">
        <w:rPr>
          <w:rFonts w:ascii="Verdana" w:hAnsi="Verdana"/>
          <w:sz w:val="18"/>
          <w:szCs w:val="18"/>
        </w:rPr>
        <w:t xml:space="preserve"> πληρώνει ή ο ιδιοκτήτης ή ο ενοικιαστής (αν το ακίνητο είναι μισθωμένο).</w:t>
      </w:r>
    </w:p>
    <w:p w:rsidR="00352561" w:rsidRPr="00E75B0C" w:rsidRDefault="00352561" w:rsidP="004D5D96">
      <w:pPr>
        <w:spacing w:line="240" w:lineRule="auto"/>
        <w:rPr>
          <w:rFonts w:ascii="Verdana" w:hAnsi="Verdana"/>
          <w:sz w:val="18"/>
          <w:szCs w:val="18"/>
        </w:rPr>
      </w:pPr>
    </w:p>
    <w:p w:rsidR="001D4E15" w:rsidRPr="00E75B0C" w:rsidRDefault="001D4E15" w:rsidP="004D5D96">
      <w:pPr>
        <w:spacing w:line="240" w:lineRule="auto"/>
        <w:rPr>
          <w:rFonts w:ascii="Verdana" w:hAnsi="Verdana"/>
          <w:b/>
          <w:sz w:val="18"/>
          <w:szCs w:val="18"/>
        </w:rPr>
      </w:pPr>
      <w:r w:rsidRPr="00E75B0C">
        <w:rPr>
          <w:rFonts w:ascii="Verdana" w:hAnsi="Verdana"/>
          <w:b/>
          <w:sz w:val="18"/>
          <w:szCs w:val="18"/>
        </w:rPr>
        <w:t>(Γ) Φόρος περιουσίας.</w:t>
      </w:r>
    </w:p>
    <w:p w:rsidR="001D4E15" w:rsidRPr="00E75B0C" w:rsidRDefault="001D4E15" w:rsidP="004D5D96">
      <w:pPr>
        <w:spacing w:line="240" w:lineRule="auto"/>
        <w:rPr>
          <w:rFonts w:ascii="Verdana" w:hAnsi="Verdana"/>
          <w:sz w:val="18"/>
          <w:szCs w:val="18"/>
        </w:rPr>
      </w:pPr>
      <w:r w:rsidRPr="00E75B0C">
        <w:rPr>
          <w:rFonts w:ascii="Verdana" w:hAnsi="Verdana"/>
          <w:sz w:val="18"/>
          <w:szCs w:val="18"/>
        </w:rPr>
        <w:t>Δεν υφίσταται.</w:t>
      </w:r>
    </w:p>
    <w:p w:rsidR="001D4E15" w:rsidRPr="00E75B0C" w:rsidRDefault="001D4E15" w:rsidP="004D5D96">
      <w:pPr>
        <w:spacing w:line="240" w:lineRule="auto"/>
        <w:rPr>
          <w:rFonts w:ascii="Verdana" w:hAnsi="Verdana"/>
          <w:sz w:val="18"/>
          <w:szCs w:val="18"/>
        </w:rPr>
      </w:pPr>
    </w:p>
    <w:p w:rsidR="001D4E15" w:rsidRPr="00E75B0C" w:rsidRDefault="001D4E15" w:rsidP="004D5D96">
      <w:pPr>
        <w:spacing w:line="240" w:lineRule="auto"/>
        <w:rPr>
          <w:rFonts w:ascii="Verdana" w:hAnsi="Verdana"/>
          <w:b/>
          <w:sz w:val="18"/>
          <w:szCs w:val="18"/>
        </w:rPr>
      </w:pPr>
      <w:r w:rsidRPr="00E75B0C">
        <w:rPr>
          <w:rFonts w:ascii="Verdana" w:hAnsi="Verdana"/>
          <w:b/>
          <w:sz w:val="18"/>
          <w:szCs w:val="18"/>
        </w:rPr>
        <w:t>(Δ) Φόρος υπεραξίας.</w:t>
      </w:r>
    </w:p>
    <w:p w:rsidR="001D4E15" w:rsidRPr="00E75B0C" w:rsidRDefault="0029622A" w:rsidP="004D5D96">
      <w:pPr>
        <w:spacing w:line="240" w:lineRule="auto"/>
        <w:rPr>
          <w:rFonts w:ascii="Verdana" w:hAnsi="Verdana"/>
          <w:sz w:val="18"/>
          <w:szCs w:val="18"/>
        </w:rPr>
      </w:pPr>
      <w:r w:rsidRPr="00E75B0C">
        <w:rPr>
          <w:rFonts w:ascii="Verdana" w:hAnsi="Verdana"/>
          <w:sz w:val="18"/>
          <w:szCs w:val="18"/>
        </w:rPr>
        <w:t xml:space="preserve">Δεν επιβάλλεται σε υπεραξία </w:t>
      </w:r>
      <w:r w:rsidR="00A17C07" w:rsidRPr="00E75B0C">
        <w:rPr>
          <w:rFonts w:ascii="Verdana" w:hAnsi="Verdana"/>
          <w:sz w:val="18"/>
          <w:szCs w:val="18"/>
        </w:rPr>
        <w:t xml:space="preserve">που τυχόν προκύπτει απ’ την </w:t>
      </w:r>
      <w:r w:rsidR="00DB0BD2" w:rsidRPr="00E75B0C">
        <w:rPr>
          <w:rFonts w:ascii="Verdana" w:hAnsi="Verdana"/>
          <w:sz w:val="18"/>
          <w:szCs w:val="18"/>
        </w:rPr>
        <w:t>πώληση</w:t>
      </w:r>
      <w:r w:rsidR="00A17C07" w:rsidRPr="00E75B0C">
        <w:rPr>
          <w:rFonts w:ascii="Verdana" w:hAnsi="Verdana"/>
          <w:sz w:val="18"/>
          <w:szCs w:val="18"/>
        </w:rPr>
        <w:t xml:space="preserve"> της </w:t>
      </w:r>
      <w:r w:rsidRPr="00E75B0C">
        <w:rPr>
          <w:rFonts w:ascii="Verdana" w:hAnsi="Verdana"/>
          <w:sz w:val="18"/>
          <w:szCs w:val="18"/>
        </w:rPr>
        <w:t>κύριας</w:t>
      </w:r>
      <w:r w:rsidR="00A17C07" w:rsidRPr="00E75B0C">
        <w:rPr>
          <w:rFonts w:ascii="Verdana" w:hAnsi="Verdana"/>
          <w:sz w:val="18"/>
          <w:szCs w:val="18"/>
        </w:rPr>
        <w:t xml:space="preserve"> κατοικίας</w:t>
      </w:r>
      <w:r w:rsidR="00AC4744" w:rsidRPr="00E75B0C">
        <w:rPr>
          <w:rFonts w:ascii="Verdana" w:hAnsi="Verdana"/>
          <w:sz w:val="18"/>
          <w:szCs w:val="18"/>
        </w:rPr>
        <w:t>. Επιβάλλεται όμως επί:</w:t>
      </w:r>
    </w:p>
    <w:p w:rsidR="00AC4744" w:rsidRPr="00E75B0C" w:rsidRDefault="00DB0BD2" w:rsidP="00AC4744">
      <w:pPr>
        <w:pStyle w:val="a3"/>
        <w:numPr>
          <w:ilvl w:val="0"/>
          <w:numId w:val="3"/>
        </w:numPr>
        <w:spacing w:line="240" w:lineRule="auto"/>
        <w:rPr>
          <w:rFonts w:ascii="Verdana" w:hAnsi="Verdana"/>
          <w:sz w:val="18"/>
          <w:szCs w:val="18"/>
        </w:rPr>
      </w:pPr>
      <w:r w:rsidRPr="00E75B0C">
        <w:rPr>
          <w:rFonts w:ascii="Verdana" w:hAnsi="Verdana"/>
          <w:sz w:val="18"/>
          <w:szCs w:val="18"/>
        </w:rPr>
        <w:t>Ακινήτων που έχουν αγοραστεί</w:t>
      </w:r>
      <w:r w:rsidR="00AC4744" w:rsidRPr="00E75B0C">
        <w:rPr>
          <w:rFonts w:ascii="Verdana" w:hAnsi="Verdana"/>
          <w:sz w:val="18"/>
          <w:szCs w:val="18"/>
        </w:rPr>
        <w:t xml:space="preserve"> και διακρατηθ</w:t>
      </w:r>
      <w:r w:rsidRPr="00E75B0C">
        <w:rPr>
          <w:rFonts w:ascii="Verdana" w:hAnsi="Verdana"/>
          <w:sz w:val="18"/>
          <w:szCs w:val="18"/>
        </w:rPr>
        <w:t>εί</w:t>
      </w:r>
      <w:r w:rsidR="00AC4744" w:rsidRPr="00E75B0C">
        <w:rPr>
          <w:rFonts w:ascii="Verdana" w:hAnsi="Verdana"/>
          <w:sz w:val="18"/>
          <w:szCs w:val="18"/>
        </w:rPr>
        <w:t xml:space="preserve"> ως επενδύσεις</w:t>
      </w:r>
    </w:p>
    <w:p w:rsidR="00AC4744" w:rsidRPr="00E75B0C" w:rsidRDefault="00AC4744" w:rsidP="00AC4744">
      <w:pPr>
        <w:pStyle w:val="a3"/>
        <w:numPr>
          <w:ilvl w:val="0"/>
          <w:numId w:val="3"/>
        </w:numPr>
        <w:spacing w:line="240" w:lineRule="auto"/>
        <w:rPr>
          <w:rFonts w:ascii="Verdana" w:hAnsi="Verdana"/>
          <w:sz w:val="18"/>
          <w:szCs w:val="18"/>
        </w:rPr>
      </w:pPr>
      <w:r w:rsidRPr="00E75B0C">
        <w:rPr>
          <w:rFonts w:ascii="Verdana" w:hAnsi="Verdana"/>
          <w:sz w:val="18"/>
          <w:szCs w:val="18"/>
        </w:rPr>
        <w:t>Δευτερευουσών κατοικιών (είτε αυτές είναι στο ΗΒ είτε σε άλλη χώρα κι ο ιδιοκτήτης είναι, βεβαίως, φορολογικός κάτοικος του ΗΒ).</w:t>
      </w:r>
    </w:p>
    <w:p w:rsidR="00AC4744" w:rsidRPr="00E75B0C" w:rsidRDefault="00AC4744" w:rsidP="00AC4744">
      <w:pPr>
        <w:pStyle w:val="a3"/>
        <w:numPr>
          <w:ilvl w:val="0"/>
          <w:numId w:val="3"/>
        </w:numPr>
        <w:spacing w:line="240" w:lineRule="auto"/>
        <w:rPr>
          <w:rFonts w:ascii="Verdana" w:hAnsi="Verdana"/>
          <w:sz w:val="18"/>
          <w:szCs w:val="18"/>
        </w:rPr>
      </w:pPr>
      <w:r w:rsidRPr="00E75B0C">
        <w:rPr>
          <w:rFonts w:ascii="Verdana" w:hAnsi="Verdana"/>
          <w:sz w:val="18"/>
          <w:szCs w:val="18"/>
        </w:rPr>
        <w:t>Ακινήτων που ανήκουν και χρησιμοποιούνται από επιχειρήσεις (π.χ., καταστήματα, εργοστάσια).</w:t>
      </w:r>
    </w:p>
    <w:p w:rsidR="00AC4744" w:rsidRPr="00E75B0C" w:rsidRDefault="00AC4744" w:rsidP="00AC4744">
      <w:pPr>
        <w:pStyle w:val="a3"/>
        <w:numPr>
          <w:ilvl w:val="0"/>
          <w:numId w:val="3"/>
        </w:numPr>
        <w:spacing w:line="240" w:lineRule="auto"/>
        <w:rPr>
          <w:rFonts w:ascii="Verdana" w:hAnsi="Verdana"/>
          <w:sz w:val="18"/>
          <w:szCs w:val="18"/>
        </w:rPr>
      </w:pPr>
      <w:r w:rsidRPr="00E75B0C">
        <w:rPr>
          <w:rFonts w:ascii="Verdana" w:hAnsi="Verdana"/>
          <w:sz w:val="18"/>
          <w:szCs w:val="18"/>
        </w:rPr>
        <w:t>Γης, όπως αγροτική γη.</w:t>
      </w:r>
    </w:p>
    <w:p w:rsidR="001D4E15" w:rsidRPr="00E75B0C" w:rsidRDefault="00AC4744" w:rsidP="004D5D96">
      <w:pPr>
        <w:spacing w:line="240" w:lineRule="auto"/>
        <w:rPr>
          <w:rFonts w:ascii="Verdana" w:hAnsi="Verdana"/>
          <w:sz w:val="18"/>
          <w:szCs w:val="18"/>
        </w:rPr>
      </w:pPr>
      <w:r w:rsidRPr="00E75B0C">
        <w:rPr>
          <w:rFonts w:ascii="Verdana" w:hAnsi="Verdana"/>
          <w:sz w:val="18"/>
          <w:szCs w:val="18"/>
        </w:rPr>
        <w:t>Οι συντελεστές του φόρου υπεραξίας είναι (</w:t>
      </w:r>
      <w:r w:rsidR="0029622A" w:rsidRPr="00E75B0C">
        <w:rPr>
          <w:rFonts w:ascii="Verdana" w:hAnsi="Verdana"/>
          <w:sz w:val="18"/>
          <w:szCs w:val="18"/>
        </w:rPr>
        <w:t>υπάρχουν και εκπτώσεις απ’ το</w:t>
      </w:r>
      <w:r w:rsidRPr="00E75B0C">
        <w:rPr>
          <w:rFonts w:ascii="Verdana" w:hAnsi="Verdana"/>
          <w:sz w:val="18"/>
          <w:szCs w:val="18"/>
        </w:rPr>
        <w:t xml:space="preserve"> φόρο, αναλόγως της συγκεκριμένης περιπτώσεως):</w:t>
      </w:r>
    </w:p>
    <w:p w:rsidR="00AC4744" w:rsidRPr="00E75B0C" w:rsidRDefault="00AC4744" w:rsidP="00AC4744">
      <w:pPr>
        <w:pStyle w:val="a3"/>
        <w:numPr>
          <w:ilvl w:val="0"/>
          <w:numId w:val="3"/>
        </w:numPr>
        <w:spacing w:line="240" w:lineRule="auto"/>
        <w:rPr>
          <w:rFonts w:ascii="Verdana" w:hAnsi="Verdana"/>
          <w:sz w:val="18"/>
          <w:szCs w:val="18"/>
        </w:rPr>
      </w:pPr>
      <w:r w:rsidRPr="00E75B0C">
        <w:rPr>
          <w:rFonts w:ascii="Verdana" w:hAnsi="Verdana"/>
          <w:sz w:val="18"/>
          <w:szCs w:val="18"/>
        </w:rPr>
        <w:t>18% και 28% για άτομα (το αν θα ισχύσει ο ένας συντελεστής ή ο άλλος εξαρτάται απ’ το ολικό εισόδημα του πωλητή ή διαθέτη).</w:t>
      </w:r>
    </w:p>
    <w:p w:rsidR="00AC4744" w:rsidRPr="00E75B0C" w:rsidRDefault="00AC4744" w:rsidP="00AC4744">
      <w:pPr>
        <w:pStyle w:val="a3"/>
        <w:numPr>
          <w:ilvl w:val="0"/>
          <w:numId w:val="3"/>
        </w:numPr>
        <w:spacing w:line="240" w:lineRule="auto"/>
        <w:rPr>
          <w:rFonts w:ascii="Verdana" w:hAnsi="Verdana"/>
          <w:sz w:val="18"/>
          <w:szCs w:val="18"/>
        </w:rPr>
      </w:pPr>
      <w:r w:rsidRPr="00E75B0C">
        <w:rPr>
          <w:rFonts w:ascii="Verdana" w:hAnsi="Verdana"/>
          <w:sz w:val="18"/>
          <w:szCs w:val="18"/>
        </w:rPr>
        <w:t>28% για καταπιστευματίες (</w:t>
      </w:r>
      <w:r w:rsidRPr="00E75B0C">
        <w:rPr>
          <w:rFonts w:ascii="Verdana" w:hAnsi="Verdana"/>
          <w:sz w:val="18"/>
          <w:szCs w:val="18"/>
          <w:lang w:val="en-US"/>
        </w:rPr>
        <w:t>trustees</w:t>
      </w:r>
      <w:r w:rsidRPr="00E75B0C">
        <w:rPr>
          <w:rFonts w:ascii="Verdana" w:hAnsi="Verdana"/>
          <w:sz w:val="18"/>
          <w:szCs w:val="18"/>
        </w:rPr>
        <w:t>) ή αντιπροσώπους αποθανόντων.</w:t>
      </w:r>
    </w:p>
    <w:p w:rsidR="00AC4744" w:rsidRPr="00E75B0C" w:rsidRDefault="00AC4744" w:rsidP="00AC4744">
      <w:pPr>
        <w:pStyle w:val="a3"/>
        <w:numPr>
          <w:ilvl w:val="0"/>
          <w:numId w:val="3"/>
        </w:numPr>
        <w:spacing w:line="240" w:lineRule="auto"/>
        <w:rPr>
          <w:rFonts w:ascii="Verdana" w:hAnsi="Verdana"/>
          <w:sz w:val="18"/>
          <w:szCs w:val="18"/>
        </w:rPr>
      </w:pPr>
      <w:r w:rsidRPr="00E75B0C">
        <w:rPr>
          <w:rFonts w:ascii="Verdana" w:hAnsi="Verdana"/>
          <w:sz w:val="18"/>
          <w:szCs w:val="18"/>
        </w:rPr>
        <w:t xml:space="preserve">10% για υπεραξίες, που δικαιούνται </w:t>
      </w:r>
      <w:r w:rsidRPr="00E75B0C">
        <w:rPr>
          <w:rFonts w:ascii="Verdana" w:hAnsi="Verdana"/>
          <w:sz w:val="18"/>
          <w:szCs w:val="18"/>
          <w:lang w:val="en-US"/>
        </w:rPr>
        <w:t>Entrepreneurs</w:t>
      </w:r>
      <w:r w:rsidRPr="00E75B0C">
        <w:rPr>
          <w:rFonts w:ascii="Verdana" w:hAnsi="Verdana"/>
          <w:sz w:val="18"/>
          <w:szCs w:val="18"/>
        </w:rPr>
        <w:t xml:space="preserve">’ </w:t>
      </w:r>
      <w:r w:rsidRPr="00E75B0C">
        <w:rPr>
          <w:rFonts w:ascii="Verdana" w:hAnsi="Verdana"/>
          <w:sz w:val="18"/>
          <w:szCs w:val="18"/>
          <w:lang w:val="en-US"/>
        </w:rPr>
        <w:t>Relief</w:t>
      </w:r>
      <w:r w:rsidRPr="00E75B0C">
        <w:rPr>
          <w:rFonts w:ascii="Verdana" w:hAnsi="Verdana"/>
          <w:sz w:val="18"/>
          <w:szCs w:val="18"/>
        </w:rPr>
        <w:t xml:space="preserve">. </w:t>
      </w:r>
    </w:p>
    <w:p w:rsidR="00AC4744" w:rsidRPr="00E75B0C" w:rsidRDefault="00AC4744" w:rsidP="00AC4744">
      <w:pPr>
        <w:spacing w:line="240" w:lineRule="auto"/>
        <w:rPr>
          <w:rFonts w:ascii="Verdana" w:hAnsi="Verdana"/>
          <w:sz w:val="18"/>
          <w:szCs w:val="18"/>
        </w:rPr>
      </w:pPr>
      <w:r w:rsidRPr="00E75B0C">
        <w:rPr>
          <w:rFonts w:ascii="Verdana" w:hAnsi="Verdana"/>
          <w:sz w:val="18"/>
          <w:szCs w:val="18"/>
        </w:rPr>
        <w:t xml:space="preserve">Πηγή: </w:t>
      </w:r>
      <w:hyperlink r:id="rId33" w:history="1">
        <w:r w:rsidRPr="00E75B0C">
          <w:rPr>
            <w:rStyle w:val="-"/>
            <w:rFonts w:ascii="Verdana" w:hAnsi="Verdana"/>
            <w:sz w:val="18"/>
            <w:szCs w:val="18"/>
          </w:rPr>
          <w:t>http://www.hmrc.gov.uk/rates/cgt.htm</w:t>
        </w:r>
      </w:hyperlink>
    </w:p>
    <w:p w:rsidR="00AC4744" w:rsidRPr="00E75B0C" w:rsidRDefault="00AC4744" w:rsidP="00AC4744">
      <w:pPr>
        <w:spacing w:line="240" w:lineRule="auto"/>
        <w:rPr>
          <w:rFonts w:ascii="Verdana" w:hAnsi="Verdana"/>
          <w:sz w:val="18"/>
          <w:szCs w:val="18"/>
        </w:rPr>
      </w:pPr>
    </w:p>
    <w:sectPr w:rsidR="00AC4744" w:rsidRPr="00E75B0C" w:rsidSect="00A6682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15" w:rsidRDefault="00BB7715" w:rsidP="00743545">
      <w:pPr>
        <w:spacing w:after="0" w:line="240" w:lineRule="auto"/>
      </w:pPr>
      <w:r>
        <w:separator/>
      </w:r>
    </w:p>
  </w:endnote>
  <w:endnote w:type="continuationSeparator" w:id="0">
    <w:p w:rsidR="00BB7715" w:rsidRDefault="00BB7715" w:rsidP="0074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666516"/>
      <w:docPartObj>
        <w:docPartGallery w:val="Page Numbers (Bottom of Page)"/>
        <w:docPartUnique/>
      </w:docPartObj>
    </w:sdtPr>
    <w:sdtEndPr/>
    <w:sdtContent>
      <w:p w:rsidR="007A6FCE" w:rsidRDefault="007A6FCE">
        <w:pPr>
          <w:pStyle w:val="a5"/>
          <w:jc w:val="right"/>
        </w:pPr>
        <w:r>
          <w:fldChar w:fldCharType="begin"/>
        </w:r>
        <w:r>
          <w:instrText xml:space="preserve"> PAGE   \* MERGEFORMAT </w:instrText>
        </w:r>
        <w:r>
          <w:fldChar w:fldCharType="separate"/>
        </w:r>
        <w:r w:rsidR="003205E6">
          <w:rPr>
            <w:noProof/>
          </w:rPr>
          <w:t>17</w:t>
        </w:r>
        <w:r>
          <w:rPr>
            <w:noProof/>
          </w:rPr>
          <w:fldChar w:fldCharType="end"/>
        </w:r>
      </w:p>
    </w:sdtContent>
  </w:sdt>
  <w:p w:rsidR="007A6FCE" w:rsidRDefault="007A6F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15" w:rsidRDefault="00BB7715" w:rsidP="00743545">
      <w:pPr>
        <w:spacing w:after="0" w:line="240" w:lineRule="auto"/>
      </w:pPr>
      <w:r>
        <w:separator/>
      </w:r>
    </w:p>
  </w:footnote>
  <w:footnote w:type="continuationSeparator" w:id="0">
    <w:p w:rsidR="00BB7715" w:rsidRDefault="00BB7715" w:rsidP="00743545">
      <w:pPr>
        <w:spacing w:after="0" w:line="240" w:lineRule="auto"/>
      </w:pPr>
      <w:r>
        <w:continuationSeparator/>
      </w:r>
    </w:p>
  </w:footnote>
  <w:footnote w:id="1">
    <w:p w:rsidR="007A6FCE" w:rsidRPr="002217C9" w:rsidRDefault="007A6FCE">
      <w:pPr>
        <w:pStyle w:val="a6"/>
      </w:pPr>
      <w:r>
        <w:rPr>
          <w:rStyle w:val="a7"/>
        </w:rPr>
        <w:footnoteRef/>
      </w:r>
      <w:r>
        <w:t xml:space="preserve"> Τονίζουμε ότι τα στοιχεία αφορούν το 2011. Το 2012-14 οι φόροι ακινήτων στην Ελλάδα αυξήθηκαν και άλλο (πολύ μάλιστα). </w:t>
      </w:r>
    </w:p>
  </w:footnote>
  <w:footnote w:id="2">
    <w:p w:rsidR="007A6FCE" w:rsidRDefault="007A6FCE">
      <w:pPr>
        <w:pStyle w:val="a6"/>
      </w:pPr>
      <w:r>
        <w:rPr>
          <w:rStyle w:val="a7"/>
        </w:rPr>
        <w:footnoteRef/>
      </w:r>
      <w:r>
        <w:t xml:space="preserve"> Σημ.: Το ΑΕΠ δεν ισούται ακριβώς με τα (μεικτά) εισοδήματα των νοικοκυριών και εταιρειών, μα αντιπαρερχόμαστε αυτό το ζήτημα χάριν απλοποιήσεως. Η παρούσα ανάλυση δεν βλάπτεται.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0C" w:rsidRDefault="00E75B0C" w:rsidP="00E75B0C">
    <w:pPr>
      <w:pStyle w:val="a4"/>
      <w:tabs>
        <w:tab w:val="clear" w:pos="8306"/>
        <w:tab w:val="right" w:pos="9639"/>
      </w:tabs>
    </w:pPr>
    <w:r>
      <w:rPr>
        <w:noProof/>
        <w:lang w:eastAsia="el-GR"/>
      </w:rPr>
      <w:drawing>
        <wp:inline distT="0" distB="0" distL="0" distR="0" wp14:anchorId="106110C0" wp14:editId="76CC4943">
          <wp:extent cx="1184745" cy="432809"/>
          <wp:effectExtent l="0" t="0" r="0" b="0"/>
          <wp:docPr id="1" name="Εικόνα 1" descr="C:\Users\Γραμματεία-GLPV\Desktop\GLP\LOGOS\GLP_LOGO_Char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Γραμματεία-GLPV\Desktop\GLP\LOGOS\GLP_LOGO_Charte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728" cy="433533"/>
                  </a:xfrm>
                  <a:prstGeom prst="rect">
                    <a:avLst/>
                  </a:prstGeom>
                  <a:noFill/>
                  <a:ln>
                    <a:noFill/>
                  </a:ln>
                </pic:spPr>
              </pic:pic>
            </a:graphicData>
          </a:graphic>
        </wp:inline>
      </w:drawing>
    </w:r>
    <w:r>
      <w:rPr>
        <w:noProof/>
        <w:lang w:val="en-US" w:eastAsia="el-GR"/>
      </w:rPr>
      <w:tab/>
    </w:r>
    <w:r>
      <w:rPr>
        <w:noProof/>
        <w:lang w:val="en-US" w:eastAsia="el-GR"/>
      </w:rPr>
      <w:tab/>
    </w:r>
    <w:r>
      <w:rPr>
        <w:noProof/>
        <w:lang w:eastAsia="el-GR"/>
      </w:rPr>
      <w:drawing>
        <wp:inline distT="0" distB="0" distL="0" distR="0" wp14:anchorId="162377AE" wp14:editId="69B31278">
          <wp:extent cx="1119091" cy="246040"/>
          <wp:effectExtent l="0" t="0" r="0" b="0"/>
          <wp:docPr id="2" name="Εικόνα 2" descr="C:\Users\Γραμματεία-GLPV\Desktop\GLP\LOGOS\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Γραμματεία-GLPV\Desktop\GLP\LOGOS\ric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104" cy="248461"/>
                  </a:xfrm>
                  <a:prstGeom prst="rect">
                    <a:avLst/>
                  </a:prstGeom>
                  <a:noFill/>
                  <a:ln>
                    <a:noFill/>
                  </a:ln>
                </pic:spPr>
              </pic:pic>
            </a:graphicData>
          </a:graphic>
        </wp:inline>
      </w:drawing>
    </w:r>
  </w:p>
  <w:p w:rsidR="00E75B0C" w:rsidRDefault="00E75B0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C6" w:rsidRDefault="005E32C6" w:rsidP="00E75B0C">
    <w:pPr>
      <w:pStyle w:val="a4"/>
      <w:tabs>
        <w:tab w:val="clear" w:pos="8306"/>
        <w:tab w:val="right" w:pos="9639"/>
      </w:tabs>
    </w:pPr>
    <w:r>
      <w:rPr>
        <w:noProof/>
        <w:lang w:eastAsia="el-GR"/>
      </w:rPr>
      <w:drawing>
        <wp:inline distT="0" distB="0" distL="0" distR="0" wp14:anchorId="6F57B527" wp14:editId="12CD7A81">
          <wp:extent cx="1184745" cy="432809"/>
          <wp:effectExtent l="0" t="0" r="0" b="0"/>
          <wp:docPr id="3" name="Εικόνα 3" descr="C:\Users\Γραμματεία-GLPV\Desktop\GLP\LOGOS\GLP_LOGO_Char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Γραμματεία-GLPV\Desktop\GLP\LOGOS\GLP_LOGO_Charte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728" cy="433533"/>
                  </a:xfrm>
                  <a:prstGeom prst="rect">
                    <a:avLst/>
                  </a:prstGeom>
                  <a:noFill/>
                  <a:ln>
                    <a:noFill/>
                  </a:ln>
                </pic:spPr>
              </pic:pic>
            </a:graphicData>
          </a:graphic>
        </wp:inline>
      </w:drawing>
    </w:r>
    <w:r>
      <w:rPr>
        <w:noProof/>
        <w:lang w:val="en-US" w:eastAsia="el-GR"/>
      </w:rPr>
      <w:tab/>
    </w:r>
    <w:r>
      <w:rPr>
        <w:noProof/>
        <w:lang w:val="en-US" w:eastAsia="el-GR"/>
      </w:rPr>
      <w:tab/>
    </w:r>
    <w:r>
      <w:rPr>
        <w:noProof/>
        <w:lang w:eastAsia="el-GR"/>
      </w:rPr>
      <w:drawing>
        <wp:inline distT="0" distB="0" distL="0" distR="0" wp14:anchorId="6FE1588A" wp14:editId="330E9062">
          <wp:extent cx="1119091" cy="246040"/>
          <wp:effectExtent l="0" t="0" r="0" b="0"/>
          <wp:docPr id="4" name="Εικόνα 4" descr="C:\Users\Γραμματεία-GLPV\Desktop\GLP\LOGOS\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Γραμματεία-GLPV\Desktop\GLP\LOGOS\ric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104" cy="248461"/>
                  </a:xfrm>
                  <a:prstGeom prst="rect">
                    <a:avLst/>
                  </a:prstGeom>
                  <a:noFill/>
                  <a:ln>
                    <a:noFill/>
                  </a:ln>
                </pic:spPr>
              </pic:pic>
            </a:graphicData>
          </a:graphic>
        </wp:inline>
      </w:drawing>
    </w:r>
  </w:p>
  <w:p w:rsidR="005E32C6" w:rsidRDefault="005E32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F80"/>
    <w:multiLevelType w:val="hybridMultilevel"/>
    <w:tmpl w:val="29445C34"/>
    <w:lvl w:ilvl="0" w:tplc="E870BAF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D07F23"/>
    <w:multiLevelType w:val="hybridMultilevel"/>
    <w:tmpl w:val="B8E80E1E"/>
    <w:lvl w:ilvl="0" w:tplc="D71AAF26">
      <w:start w:val="1"/>
      <w:numFmt w:val="bullet"/>
      <w:lvlText w:val=""/>
      <w:lvlJc w:val="left"/>
      <w:pPr>
        <w:ind w:left="1080" w:hanging="360"/>
      </w:pPr>
      <w:rPr>
        <w:rFonts w:ascii="Symbol" w:eastAsiaTheme="minorHAnsi" w:hAnsi="Symbol" w:cstheme="minorBid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5E0F3780"/>
    <w:multiLevelType w:val="hybridMultilevel"/>
    <w:tmpl w:val="8ABCB9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E27479C"/>
    <w:multiLevelType w:val="hybridMultilevel"/>
    <w:tmpl w:val="4112CA16"/>
    <w:lvl w:ilvl="0" w:tplc="06E61CD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36147A5"/>
    <w:multiLevelType w:val="hybridMultilevel"/>
    <w:tmpl w:val="DBBE84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000EBB"/>
    <w:multiLevelType w:val="hybridMultilevel"/>
    <w:tmpl w:val="88DE1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1911453"/>
    <w:multiLevelType w:val="hybridMultilevel"/>
    <w:tmpl w:val="BF54A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34"/>
    <w:rsid w:val="00000C1E"/>
    <w:rsid w:val="00012B23"/>
    <w:rsid w:val="0001402B"/>
    <w:rsid w:val="0001570D"/>
    <w:rsid w:val="0002692B"/>
    <w:rsid w:val="00031501"/>
    <w:rsid w:val="00046294"/>
    <w:rsid w:val="00047935"/>
    <w:rsid w:val="0009338B"/>
    <w:rsid w:val="00095299"/>
    <w:rsid w:val="000A01AA"/>
    <w:rsid w:val="000C1529"/>
    <w:rsid w:val="000C42A5"/>
    <w:rsid w:val="000E0ED1"/>
    <w:rsid w:val="000E547D"/>
    <w:rsid w:val="00113B71"/>
    <w:rsid w:val="00121D08"/>
    <w:rsid w:val="00144F1C"/>
    <w:rsid w:val="00146443"/>
    <w:rsid w:val="001624A4"/>
    <w:rsid w:val="00176474"/>
    <w:rsid w:val="00182FE1"/>
    <w:rsid w:val="00194F5C"/>
    <w:rsid w:val="001961B0"/>
    <w:rsid w:val="001A02C2"/>
    <w:rsid w:val="001A5DAA"/>
    <w:rsid w:val="001D03F9"/>
    <w:rsid w:val="001D4E15"/>
    <w:rsid w:val="002217C9"/>
    <w:rsid w:val="00244802"/>
    <w:rsid w:val="002501F0"/>
    <w:rsid w:val="00274767"/>
    <w:rsid w:val="00276C21"/>
    <w:rsid w:val="00281229"/>
    <w:rsid w:val="002814A4"/>
    <w:rsid w:val="00282E36"/>
    <w:rsid w:val="00283C05"/>
    <w:rsid w:val="0029622A"/>
    <w:rsid w:val="002A4824"/>
    <w:rsid w:val="002C3713"/>
    <w:rsid w:val="002C5DBE"/>
    <w:rsid w:val="002D0C02"/>
    <w:rsid w:val="002E058F"/>
    <w:rsid w:val="002E11A9"/>
    <w:rsid w:val="002E42C3"/>
    <w:rsid w:val="002F6592"/>
    <w:rsid w:val="0030331B"/>
    <w:rsid w:val="00311D63"/>
    <w:rsid w:val="00314202"/>
    <w:rsid w:val="003205E6"/>
    <w:rsid w:val="00323B9A"/>
    <w:rsid w:val="00335827"/>
    <w:rsid w:val="0034117E"/>
    <w:rsid w:val="00341AE5"/>
    <w:rsid w:val="00350D9B"/>
    <w:rsid w:val="00352561"/>
    <w:rsid w:val="00353E88"/>
    <w:rsid w:val="00360CD1"/>
    <w:rsid w:val="003646F8"/>
    <w:rsid w:val="00374F80"/>
    <w:rsid w:val="00375D8F"/>
    <w:rsid w:val="003956A8"/>
    <w:rsid w:val="003964C1"/>
    <w:rsid w:val="003A4EC7"/>
    <w:rsid w:val="003C184A"/>
    <w:rsid w:val="00410C45"/>
    <w:rsid w:val="004135B4"/>
    <w:rsid w:val="00414FA4"/>
    <w:rsid w:val="00427F75"/>
    <w:rsid w:val="00433FBE"/>
    <w:rsid w:val="00477CAA"/>
    <w:rsid w:val="00484186"/>
    <w:rsid w:val="0048710F"/>
    <w:rsid w:val="00487503"/>
    <w:rsid w:val="00490400"/>
    <w:rsid w:val="0049284D"/>
    <w:rsid w:val="004D3C9A"/>
    <w:rsid w:val="004D5D96"/>
    <w:rsid w:val="004E4262"/>
    <w:rsid w:val="004F73A0"/>
    <w:rsid w:val="00506642"/>
    <w:rsid w:val="00520443"/>
    <w:rsid w:val="00526C4C"/>
    <w:rsid w:val="005270D6"/>
    <w:rsid w:val="00531B1D"/>
    <w:rsid w:val="00532953"/>
    <w:rsid w:val="005352C1"/>
    <w:rsid w:val="00544011"/>
    <w:rsid w:val="005768ED"/>
    <w:rsid w:val="00596BA9"/>
    <w:rsid w:val="005A64D8"/>
    <w:rsid w:val="005B23CD"/>
    <w:rsid w:val="005C6B11"/>
    <w:rsid w:val="005C789A"/>
    <w:rsid w:val="005D2FD3"/>
    <w:rsid w:val="005E32C6"/>
    <w:rsid w:val="005E4EC5"/>
    <w:rsid w:val="00601D21"/>
    <w:rsid w:val="00612513"/>
    <w:rsid w:val="0061670E"/>
    <w:rsid w:val="006233FD"/>
    <w:rsid w:val="006410C3"/>
    <w:rsid w:val="006423CC"/>
    <w:rsid w:val="00643A97"/>
    <w:rsid w:val="00645397"/>
    <w:rsid w:val="00652B27"/>
    <w:rsid w:val="00663D70"/>
    <w:rsid w:val="006776A5"/>
    <w:rsid w:val="006779B9"/>
    <w:rsid w:val="00680EC7"/>
    <w:rsid w:val="00683ED2"/>
    <w:rsid w:val="00685B16"/>
    <w:rsid w:val="00693B5A"/>
    <w:rsid w:val="00694EC2"/>
    <w:rsid w:val="006A45F6"/>
    <w:rsid w:val="006A531E"/>
    <w:rsid w:val="006C680C"/>
    <w:rsid w:val="006D58BA"/>
    <w:rsid w:val="006F48C5"/>
    <w:rsid w:val="006F78AE"/>
    <w:rsid w:val="00700E34"/>
    <w:rsid w:val="007333B7"/>
    <w:rsid w:val="007371E4"/>
    <w:rsid w:val="00743545"/>
    <w:rsid w:val="00745664"/>
    <w:rsid w:val="00751ABD"/>
    <w:rsid w:val="00763F94"/>
    <w:rsid w:val="00766C4E"/>
    <w:rsid w:val="007772E1"/>
    <w:rsid w:val="00777C2F"/>
    <w:rsid w:val="007835C5"/>
    <w:rsid w:val="00783BC0"/>
    <w:rsid w:val="00786119"/>
    <w:rsid w:val="007A6FCE"/>
    <w:rsid w:val="007C5A49"/>
    <w:rsid w:val="007C64C0"/>
    <w:rsid w:val="007D33B2"/>
    <w:rsid w:val="007F1C67"/>
    <w:rsid w:val="007F5E0D"/>
    <w:rsid w:val="00811EC5"/>
    <w:rsid w:val="00826B78"/>
    <w:rsid w:val="0084291B"/>
    <w:rsid w:val="00860D1C"/>
    <w:rsid w:val="008A797D"/>
    <w:rsid w:val="008B0EC3"/>
    <w:rsid w:val="008B1274"/>
    <w:rsid w:val="008B12E7"/>
    <w:rsid w:val="008C1D78"/>
    <w:rsid w:val="008C7525"/>
    <w:rsid w:val="008D2E03"/>
    <w:rsid w:val="008F0153"/>
    <w:rsid w:val="008F57C3"/>
    <w:rsid w:val="00906E34"/>
    <w:rsid w:val="00911661"/>
    <w:rsid w:val="0092064A"/>
    <w:rsid w:val="00924D1B"/>
    <w:rsid w:val="00935CD2"/>
    <w:rsid w:val="00946644"/>
    <w:rsid w:val="009519C5"/>
    <w:rsid w:val="00970F43"/>
    <w:rsid w:val="00971541"/>
    <w:rsid w:val="009926DC"/>
    <w:rsid w:val="009946EF"/>
    <w:rsid w:val="009A4719"/>
    <w:rsid w:val="009B2035"/>
    <w:rsid w:val="009C5AE4"/>
    <w:rsid w:val="009D0730"/>
    <w:rsid w:val="009D3F4E"/>
    <w:rsid w:val="009D7D54"/>
    <w:rsid w:val="009E1661"/>
    <w:rsid w:val="009E59C9"/>
    <w:rsid w:val="009E764A"/>
    <w:rsid w:val="00A06053"/>
    <w:rsid w:val="00A114CA"/>
    <w:rsid w:val="00A17C07"/>
    <w:rsid w:val="00A2166C"/>
    <w:rsid w:val="00A45EEA"/>
    <w:rsid w:val="00A510D9"/>
    <w:rsid w:val="00A53D23"/>
    <w:rsid w:val="00A6682A"/>
    <w:rsid w:val="00A6692A"/>
    <w:rsid w:val="00A67866"/>
    <w:rsid w:val="00A678F2"/>
    <w:rsid w:val="00A72430"/>
    <w:rsid w:val="00A80972"/>
    <w:rsid w:val="00A8235A"/>
    <w:rsid w:val="00AA284F"/>
    <w:rsid w:val="00AA75D9"/>
    <w:rsid w:val="00AB0836"/>
    <w:rsid w:val="00AB3E8F"/>
    <w:rsid w:val="00AC0D3B"/>
    <w:rsid w:val="00AC4744"/>
    <w:rsid w:val="00AF2D07"/>
    <w:rsid w:val="00B064D0"/>
    <w:rsid w:val="00B12453"/>
    <w:rsid w:val="00B23B84"/>
    <w:rsid w:val="00B2450D"/>
    <w:rsid w:val="00B2575F"/>
    <w:rsid w:val="00B30D90"/>
    <w:rsid w:val="00B4446E"/>
    <w:rsid w:val="00B629E4"/>
    <w:rsid w:val="00B672FE"/>
    <w:rsid w:val="00B930FF"/>
    <w:rsid w:val="00BB3D37"/>
    <w:rsid w:val="00BB6FAD"/>
    <w:rsid w:val="00BB7715"/>
    <w:rsid w:val="00BC1FE5"/>
    <w:rsid w:val="00BC6BA3"/>
    <w:rsid w:val="00BE4A9C"/>
    <w:rsid w:val="00C03BDC"/>
    <w:rsid w:val="00C10434"/>
    <w:rsid w:val="00C106AD"/>
    <w:rsid w:val="00C26DFB"/>
    <w:rsid w:val="00C327AB"/>
    <w:rsid w:val="00C416BD"/>
    <w:rsid w:val="00C41DFB"/>
    <w:rsid w:val="00C633EA"/>
    <w:rsid w:val="00C77017"/>
    <w:rsid w:val="00C80262"/>
    <w:rsid w:val="00CC67C9"/>
    <w:rsid w:val="00D06829"/>
    <w:rsid w:val="00D311B4"/>
    <w:rsid w:val="00D33355"/>
    <w:rsid w:val="00D657E4"/>
    <w:rsid w:val="00D7018B"/>
    <w:rsid w:val="00D75C7E"/>
    <w:rsid w:val="00DA62D8"/>
    <w:rsid w:val="00DB0BD2"/>
    <w:rsid w:val="00DB6EF0"/>
    <w:rsid w:val="00DC30FA"/>
    <w:rsid w:val="00DC4E8B"/>
    <w:rsid w:val="00DD5524"/>
    <w:rsid w:val="00DD7610"/>
    <w:rsid w:val="00DD7FEC"/>
    <w:rsid w:val="00DE1922"/>
    <w:rsid w:val="00DE63F7"/>
    <w:rsid w:val="00DF5A58"/>
    <w:rsid w:val="00E30664"/>
    <w:rsid w:val="00E50744"/>
    <w:rsid w:val="00E57C3D"/>
    <w:rsid w:val="00E75B0C"/>
    <w:rsid w:val="00E91E79"/>
    <w:rsid w:val="00EB3277"/>
    <w:rsid w:val="00EC0A04"/>
    <w:rsid w:val="00EC117A"/>
    <w:rsid w:val="00EC7CAD"/>
    <w:rsid w:val="00EE4BD5"/>
    <w:rsid w:val="00EF21B0"/>
    <w:rsid w:val="00F142FA"/>
    <w:rsid w:val="00F6722B"/>
    <w:rsid w:val="00F71F80"/>
    <w:rsid w:val="00F74B74"/>
    <w:rsid w:val="00F81A29"/>
    <w:rsid w:val="00FB6BE1"/>
    <w:rsid w:val="00FD5B11"/>
    <w:rsid w:val="00FD611D"/>
    <w:rsid w:val="00FE52BD"/>
    <w:rsid w:val="00FF3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D1"/>
  </w:style>
  <w:style w:type="paragraph" w:styleId="3">
    <w:name w:val="heading 3"/>
    <w:basedOn w:val="a"/>
    <w:link w:val="3Char"/>
    <w:uiPriority w:val="9"/>
    <w:qFormat/>
    <w:rsid w:val="003964C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84D"/>
    <w:pPr>
      <w:ind w:left="720"/>
      <w:contextualSpacing/>
    </w:pPr>
  </w:style>
  <w:style w:type="paragraph" w:styleId="a4">
    <w:name w:val="header"/>
    <w:basedOn w:val="a"/>
    <w:link w:val="Char"/>
    <w:uiPriority w:val="99"/>
    <w:unhideWhenUsed/>
    <w:rsid w:val="00743545"/>
    <w:pPr>
      <w:tabs>
        <w:tab w:val="center" w:pos="4153"/>
        <w:tab w:val="right" w:pos="8306"/>
      </w:tabs>
      <w:spacing w:after="0" w:line="240" w:lineRule="auto"/>
    </w:pPr>
  </w:style>
  <w:style w:type="character" w:customStyle="1" w:styleId="Char">
    <w:name w:val="Κεφαλίδα Char"/>
    <w:basedOn w:val="a0"/>
    <w:link w:val="a4"/>
    <w:uiPriority w:val="99"/>
    <w:rsid w:val="00743545"/>
  </w:style>
  <w:style w:type="paragraph" w:styleId="a5">
    <w:name w:val="footer"/>
    <w:basedOn w:val="a"/>
    <w:link w:val="Char0"/>
    <w:uiPriority w:val="99"/>
    <w:unhideWhenUsed/>
    <w:rsid w:val="00743545"/>
    <w:pPr>
      <w:tabs>
        <w:tab w:val="center" w:pos="4153"/>
        <w:tab w:val="right" w:pos="8306"/>
      </w:tabs>
      <w:spacing w:after="0" w:line="240" w:lineRule="auto"/>
    </w:pPr>
  </w:style>
  <w:style w:type="character" w:customStyle="1" w:styleId="Char0">
    <w:name w:val="Υποσέλιδο Char"/>
    <w:basedOn w:val="a0"/>
    <w:link w:val="a5"/>
    <w:uiPriority w:val="99"/>
    <w:rsid w:val="00743545"/>
  </w:style>
  <w:style w:type="paragraph" w:styleId="a6">
    <w:name w:val="footnote text"/>
    <w:basedOn w:val="a"/>
    <w:link w:val="Char1"/>
    <w:uiPriority w:val="99"/>
    <w:semiHidden/>
    <w:unhideWhenUsed/>
    <w:rsid w:val="002217C9"/>
    <w:pPr>
      <w:spacing w:after="0" w:line="240" w:lineRule="auto"/>
    </w:pPr>
    <w:rPr>
      <w:sz w:val="20"/>
      <w:szCs w:val="20"/>
    </w:rPr>
  </w:style>
  <w:style w:type="character" w:customStyle="1" w:styleId="Char1">
    <w:name w:val="Κείμενο υποσημείωσης Char"/>
    <w:basedOn w:val="a0"/>
    <w:link w:val="a6"/>
    <w:uiPriority w:val="99"/>
    <w:semiHidden/>
    <w:rsid w:val="002217C9"/>
    <w:rPr>
      <w:sz w:val="20"/>
      <w:szCs w:val="20"/>
    </w:rPr>
  </w:style>
  <w:style w:type="character" w:styleId="a7">
    <w:name w:val="footnote reference"/>
    <w:basedOn w:val="a0"/>
    <w:uiPriority w:val="99"/>
    <w:semiHidden/>
    <w:unhideWhenUsed/>
    <w:rsid w:val="002217C9"/>
    <w:rPr>
      <w:vertAlign w:val="superscript"/>
    </w:rPr>
  </w:style>
  <w:style w:type="character" w:customStyle="1" w:styleId="hl2">
    <w:name w:val="hl2"/>
    <w:basedOn w:val="a0"/>
    <w:rsid w:val="002D0C02"/>
    <w:rPr>
      <w:color w:val="0000CC"/>
    </w:rPr>
  </w:style>
  <w:style w:type="table" w:styleId="a8">
    <w:name w:val="Table Grid"/>
    <w:basedOn w:val="a1"/>
    <w:uiPriority w:val="59"/>
    <w:rsid w:val="0075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3964C1"/>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3964C1"/>
    <w:rPr>
      <w:color w:val="0000FF"/>
      <w:u w:val="single"/>
    </w:rPr>
  </w:style>
  <w:style w:type="paragraph" w:styleId="a9">
    <w:name w:val="Balloon Text"/>
    <w:basedOn w:val="a"/>
    <w:link w:val="Char2"/>
    <w:uiPriority w:val="99"/>
    <w:semiHidden/>
    <w:unhideWhenUsed/>
    <w:rsid w:val="00E75B0C"/>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E75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D1"/>
  </w:style>
  <w:style w:type="paragraph" w:styleId="3">
    <w:name w:val="heading 3"/>
    <w:basedOn w:val="a"/>
    <w:link w:val="3Char"/>
    <w:uiPriority w:val="9"/>
    <w:qFormat/>
    <w:rsid w:val="003964C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84D"/>
    <w:pPr>
      <w:ind w:left="720"/>
      <w:contextualSpacing/>
    </w:pPr>
  </w:style>
  <w:style w:type="paragraph" w:styleId="a4">
    <w:name w:val="header"/>
    <w:basedOn w:val="a"/>
    <w:link w:val="Char"/>
    <w:uiPriority w:val="99"/>
    <w:unhideWhenUsed/>
    <w:rsid w:val="00743545"/>
    <w:pPr>
      <w:tabs>
        <w:tab w:val="center" w:pos="4153"/>
        <w:tab w:val="right" w:pos="8306"/>
      </w:tabs>
      <w:spacing w:after="0" w:line="240" w:lineRule="auto"/>
    </w:pPr>
  </w:style>
  <w:style w:type="character" w:customStyle="1" w:styleId="Char">
    <w:name w:val="Κεφαλίδα Char"/>
    <w:basedOn w:val="a0"/>
    <w:link w:val="a4"/>
    <w:uiPriority w:val="99"/>
    <w:rsid w:val="00743545"/>
  </w:style>
  <w:style w:type="paragraph" w:styleId="a5">
    <w:name w:val="footer"/>
    <w:basedOn w:val="a"/>
    <w:link w:val="Char0"/>
    <w:uiPriority w:val="99"/>
    <w:unhideWhenUsed/>
    <w:rsid w:val="00743545"/>
    <w:pPr>
      <w:tabs>
        <w:tab w:val="center" w:pos="4153"/>
        <w:tab w:val="right" w:pos="8306"/>
      </w:tabs>
      <w:spacing w:after="0" w:line="240" w:lineRule="auto"/>
    </w:pPr>
  </w:style>
  <w:style w:type="character" w:customStyle="1" w:styleId="Char0">
    <w:name w:val="Υποσέλιδο Char"/>
    <w:basedOn w:val="a0"/>
    <w:link w:val="a5"/>
    <w:uiPriority w:val="99"/>
    <w:rsid w:val="00743545"/>
  </w:style>
  <w:style w:type="paragraph" w:styleId="a6">
    <w:name w:val="footnote text"/>
    <w:basedOn w:val="a"/>
    <w:link w:val="Char1"/>
    <w:uiPriority w:val="99"/>
    <w:semiHidden/>
    <w:unhideWhenUsed/>
    <w:rsid w:val="002217C9"/>
    <w:pPr>
      <w:spacing w:after="0" w:line="240" w:lineRule="auto"/>
    </w:pPr>
    <w:rPr>
      <w:sz w:val="20"/>
      <w:szCs w:val="20"/>
    </w:rPr>
  </w:style>
  <w:style w:type="character" w:customStyle="1" w:styleId="Char1">
    <w:name w:val="Κείμενο υποσημείωσης Char"/>
    <w:basedOn w:val="a0"/>
    <w:link w:val="a6"/>
    <w:uiPriority w:val="99"/>
    <w:semiHidden/>
    <w:rsid w:val="002217C9"/>
    <w:rPr>
      <w:sz w:val="20"/>
      <w:szCs w:val="20"/>
    </w:rPr>
  </w:style>
  <w:style w:type="character" w:styleId="a7">
    <w:name w:val="footnote reference"/>
    <w:basedOn w:val="a0"/>
    <w:uiPriority w:val="99"/>
    <w:semiHidden/>
    <w:unhideWhenUsed/>
    <w:rsid w:val="002217C9"/>
    <w:rPr>
      <w:vertAlign w:val="superscript"/>
    </w:rPr>
  </w:style>
  <w:style w:type="character" w:customStyle="1" w:styleId="hl2">
    <w:name w:val="hl2"/>
    <w:basedOn w:val="a0"/>
    <w:rsid w:val="002D0C02"/>
    <w:rPr>
      <w:color w:val="0000CC"/>
    </w:rPr>
  </w:style>
  <w:style w:type="table" w:styleId="a8">
    <w:name w:val="Table Grid"/>
    <w:basedOn w:val="a1"/>
    <w:uiPriority w:val="59"/>
    <w:rsid w:val="0075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3964C1"/>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3964C1"/>
    <w:rPr>
      <w:color w:val="0000FF"/>
      <w:u w:val="single"/>
    </w:rPr>
  </w:style>
  <w:style w:type="paragraph" w:styleId="a9">
    <w:name w:val="Balloon Text"/>
    <w:basedOn w:val="a"/>
    <w:link w:val="Char2"/>
    <w:uiPriority w:val="99"/>
    <w:semiHidden/>
    <w:unhideWhenUsed/>
    <w:rsid w:val="00E75B0C"/>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E75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983">
      <w:bodyDiv w:val="1"/>
      <w:marLeft w:val="0"/>
      <w:marRight w:val="0"/>
      <w:marTop w:val="0"/>
      <w:marBottom w:val="0"/>
      <w:divBdr>
        <w:top w:val="none" w:sz="0" w:space="0" w:color="auto"/>
        <w:left w:val="none" w:sz="0" w:space="0" w:color="auto"/>
        <w:bottom w:val="none" w:sz="0" w:space="0" w:color="auto"/>
        <w:right w:val="none" w:sz="0" w:space="0" w:color="auto"/>
      </w:divBdr>
    </w:div>
    <w:div w:id="595481627">
      <w:bodyDiv w:val="1"/>
      <w:marLeft w:val="0"/>
      <w:marRight w:val="0"/>
      <w:marTop w:val="0"/>
      <w:marBottom w:val="0"/>
      <w:divBdr>
        <w:top w:val="none" w:sz="0" w:space="0" w:color="auto"/>
        <w:left w:val="none" w:sz="0" w:space="0" w:color="auto"/>
        <w:bottom w:val="none" w:sz="0" w:space="0" w:color="auto"/>
        <w:right w:val="none" w:sz="0" w:space="0" w:color="auto"/>
      </w:divBdr>
    </w:div>
    <w:div w:id="613171893">
      <w:bodyDiv w:val="1"/>
      <w:marLeft w:val="0"/>
      <w:marRight w:val="0"/>
      <w:marTop w:val="0"/>
      <w:marBottom w:val="0"/>
      <w:divBdr>
        <w:top w:val="none" w:sz="0" w:space="0" w:color="auto"/>
        <w:left w:val="none" w:sz="0" w:space="0" w:color="auto"/>
        <w:bottom w:val="none" w:sz="0" w:space="0" w:color="auto"/>
        <w:right w:val="none" w:sz="0" w:space="0" w:color="auto"/>
      </w:divBdr>
    </w:div>
    <w:div w:id="627929889">
      <w:bodyDiv w:val="1"/>
      <w:marLeft w:val="0"/>
      <w:marRight w:val="0"/>
      <w:marTop w:val="0"/>
      <w:marBottom w:val="0"/>
      <w:divBdr>
        <w:top w:val="none" w:sz="0" w:space="0" w:color="auto"/>
        <w:left w:val="none" w:sz="0" w:space="0" w:color="auto"/>
        <w:bottom w:val="none" w:sz="0" w:space="0" w:color="auto"/>
        <w:right w:val="none" w:sz="0" w:space="0" w:color="auto"/>
      </w:divBdr>
    </w:div>
    <w:div w:id="675572779">
      <w:bodyDiv w:val="1"/>
      <w:marLeft w:val="0"/>
      <w:marRight w:val="0"/>
      <w:marTop w:val="0"/>
      <w:marBottom w:val="0"/>
      <w:divBdr>
        <w:top w:val="none" w:sz="0" w:space="0" w:color="auto"/>
        <w:left w:val="none" w:sz="0" w:space="0" w:color="auto"/>
        <w:bottom w:val="none" w:sz="0" w:space="0" w:color="auto"/>
        <w:right w:val="none" w:sz="0" w:space="0" w:color="auto"/>
      </w:divBdr>
      <w:divsChild>
        <w:div w:id="370425287">
          <w:marLeft w:val="0"/>
          <w:marRight w:val="0"/>
          <w:marTop w:val="0"/>
          <w:marBottom w:val="150"/>
          <w:divBdr>
            <w:top w:val="none" w:sz="0" w:space="0" w:color="auto"/>
            <w:left w:val="none" w:sz="0" w:space="0" w:color="auto"/>
            <w:bottom w:val="none" w:sz="0" w:space="0" w:color="auto"/>
            <w:right w:val="none" w:sz="0" w:space="0" w:color="auto"/>
          </w:divBdr>
          <w:divsChild>
            <w:div w:id="1918635326">
              <w:marLeft w:val="75"/>
              <w:marRight w:val="0"/>
              <w:marTop w:val="0"/>
              <w:marBottom w:val="0"/>
              <w:divBdr>
                <w:top w:val="single" w:sz="6" w:space="0" w:color="CCCC33"/>
                <w:left w:val="none" w:sz="0" w:space="0" w:color="auto"/>
                <w:bottom w:val="none" w:sz="0" w:space="0" w:color="auto"/>
                <w:right w:val="single" w:sz="6" w:space="0" w:color="CCCC33"/>
              </w:divBdr>
              <w:divsChild>
                <w:div w:id="1342775141">
                  <w:marLeft w:val="0"/>
                  <w:marRight w:val="0"/>
                  <w:marTop w:val="0"/>
                  <w:marBottom w:val="0"/>
                  <w:divBdr>
                    <w:top w:val="none" w:sz="0" w:space="0" w:color="auto"/>
                    <w:left w:val="none" w:sz="0" w:space="0" w:color="auto"/>
                    <w:bottom w:val="none" w:sz="0" w:space="0" w:color="auto"/>
                    <w:right w:val="none" w:sz="0" w:space="0" w:color="auto"/>
                  </w:divBdr>
                  <w:divsChild>
                    <w:div w:id="3707657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666">
      <w:bodyDiv w:val="1"/>
      <w:marLeft w:val="0"/>
      <w:marRight w:val="0"/>
      <w:marTop w:val="0"/>
      <w:marBottom w:val="0"/>
      <w:divBdr>
        <w:top w:val="none" w:sz="0" w:space="0" w:color="auto"/>
        <w:left w:val="none" w:sz="0" w:space="0" w:color="auto"/>
        <w:bottom w:val="none" w:sz="0" w:space="0" w:color="auto"/>
        <w:right w:val="none" w:sz="0" w:space="0" w:color="auto"/>
      </w:divBdr>
      <w:divsChild>
        <w:div w:id="711459594">
          <w:marLeft w:val="0"/>
          <w:marRight w:val="0"/>
          <w:marTop w:val="0"/>
          <w:marBottom w:val="0"/>
          <w:divBdr>
            <w:top w:val="none" w:sz="0" w:space="0" w:color="auto"/>
            <w:left w:val="none" w:sz="0" w:space="0" w:color="auto"/>
            <w:bottom w:val="none" w:sz="0" w:space="0" w:color="auto"/>
            <w:right w:val="none" w:sz="0" w:space="0" w:color="auto"/>
          </w:divBdr>
          <w:divsChild>
            <w:div w:id="1417480814">
              <w:marLeft w:val="0"/>
              <w:marRight w:val="0"/>
              <w:marTop w:val="0"/>
              <w:marBottom w:val="0"/>
              <w:divBdr>
                <w:top w:val="none" w:sz="0" w:space="0" w:color="auto"/>
                <w:left w:val="none" w:sz="0" w:space="0" w:color="auto"/>
                <w:bottom w:val="none" w:sz="0" w:space="0" w:color="auto"/>
                <w:right w:val="none" w:sz="0" w:space="0" w:color="auto"/>
              </w:divBdr>
              <w:divsChild>
                <w:div w:id="1603149068">
                  <w:marLeft w:val="0"/>
                  <w:marRight w:val="0"/>
                  <w:marTop w:val="0"/>
                  <w:marBottom w:val="0"/>
                  <w:divBdr>
                    <w:top w:val="none" w:sz="0" w:space="0" w:color="auto"/>
                    <w:left w:val="none" w:sz="0" w:space="0" w:color="auto"/>
                    <w:bottom w:val="none" w:sz="0" w:space="0" w:color="auto"/>
                    <w:right w:val="none" w:sz="0" w:space="0" w:color="auto"/>
                  </w:divBdr>
                  <w:divsChild>
                    <w:div w:id="963460563">
                      <w:marLeft w:val="0"/>
                      <w:marRight w:val="0"/>
                      <w:marTop w:val="0"/>
                      <w:marBottom w:val="0"/>
                      <w:divBdr>
                        <w:top w:val="none" w:sz="0" w:space="0" w:color="auto"/>
                        <w:left w:val="none" w:sz="0" w:space="0" w:color="auto"/>
                        <w:bottom w:val="none" w:sz="0" w:space="0" w:color="auto"/>
                        <w:right w:val="none" w:sz="0" w:space="0" w:color="auto"/>
                      </w:divBdr>
                      <w:divsChild>
                        <w:div w:id="1110782330">
                          <w:marLeft w:val="0"/>
                          <w:marRight w:val="0"/>
                          <w:marTop w:val="0"/>
                          <w:marBottom w:val="300"/>
                          <w:divBdr>
                            <w:top w:val="none" w:sz="0" w:space="0" w:color="auto"/>
                            <w:left w:val="none" w:sz="0" w:space="0" w:color="auto"/>
                            <w:bottom w:val="none" w:sz="0" w:space="0" w:color="auto"/>
                            <w:right w:val="none" w:sz="0" w:space="0" w:color="auto"/>
                          </w:divBdr>
                          <w:divsChild>
                            <w:div w:id="7915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585154">
      <w:bodyDiv w:val="1"/>
      <w:marLeft w:val="0"/>
      <w:marRight w:val="0"/>
      <w:marTop w:val="0"/>
      <w:marBottom w:val="0"/>
      <w:divBdr>
        <w:top w:val="none" w:sz="0" w:space="0" w:color="auto"/>
        <w:left w:val="none" w:sz="0" w:space="0" w:color="auto"/>
        <w:bottom w:val="none" w:sz="0" w:space="0" w:color="auto"/>
        <w:right w:val="none" w:sz="0" w:space="0" w:color="auto"/>
      </w:divBdr>
    </w:div>
    <w:div w:id="955453796">
      <w:bodyDiv w:val="1"/>
      <w:marLeft w:val="0"/>
      <w:marRight w:val="0"/>
      <w:marTop w:val="0"/>
      <w:marBottom w:val="0"/>
      <w:divBdr>
        <w:top w:val="none" w:sz="0" w:space="0" w:color="auto"/>
        <w:left w:val="none" w:sz="0" w:space="0" w:color="auto"/>
        <w:bottom w:val="none" w:sz="0" w:space="0" w:color="auto"/>
        <w:right w:val="none" w:sz="0" w:space="0" w:color="auto"/>
      </w:divBdr>
    </w:div>
    <w:div w:id="1326476033">
      <w:bodyDiv w:val="1"/>
      <w:marLeft w:val="0"/>
      <w:marRight w:val="0"/>
      <w:marTop w:val="0"/>
      <w:marBottom w:val="0"/>
      <w:divBdr>
        <w:top w:val="none" w:sz="0" w:space="0" w:color="auto"/>
        <w:left w:val="none" w:sz="0" w:space="0" w:color="auto"/>
        <w:bottom w:val="none" w:sz="0" w:space="0" w:color="auto"/>
        <w:right w:val="none" w:sz="0" w:space="0" w:color="auto"/>
      </w:divBdr>
    </w:div>
    <w:div w:id="1807578706">
      <w:bodyDiv w:val="1"/>
      <w:marLeft w:val="0"/>
      <w:marRight w:val="0"/>
      <w:marTop w:val="0"/>
      <w:marBottom w:val="0"/>
      <w:divBdr>
        <w:top w:val="none" w:sz="0" w:space="0" w:color="auto"/>
        <w:left w:val="none" w:sz="0" w:space="0" w:color="auto"/>
        <w:bottom w:val="none" w:sz="0" w:space="0" w:color="auto"/>
        <w:right w:val="none" w:sz="0" w:space="0" w:color="auto"/>
      </w:divBdr>
    </w:div>
    <w:div w:id="1966227435">
      <w:bodyDiv w:val="1"/>
      <w:marLeft w:val="0"/>
      <w:marRight w:val="0"/>
      <w:marTop w:val="0"/>
      <w:marBottom w:val="0"/>
      <w:divBdr>
        <w:top w:val="none" w:sz="0" w:space="0" w:color="auto"/>
        <w:left w:val="none" w:sz="0" w:space="0" w:color="auto"/>
        <w:bottom w:val="none" w:sz="0" w:space="0" w:color="auto"/>
        <w:right w:val="none" w:sz="0" w:space="0" w:color="auto"/>
      </w:divBdr>
    </w:div>
    <w:div w:id="20560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PowerPoint_Slide55.sldx"/><Relationship Id="rId26" Type="http://schemas.openxmlformats.org/officeDocument/2006/relationships/package" Target="embeddings/Microsoft_PowerPoint_Slide88.sld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PowerPoint_Slide22.sldx"/><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hyperlink" Target="http://www.hmrc.gov.uk/rates/cgt.htm" TargetMode="External"/><Relationship Id="rId2" Type="http://schemas.openxmlformats.org/officeDocument/2006/relationships/numbering" Target="numbering.xml"/><Relationship Id="rId16" Type="http://schemas.openxmlformats.org/officeDocument/2006/relationships/package" Target="embeddings/Microsoft_PowerPoint_Slide44.sldx"/><Relationship Id="rId20" Type="http://schemas.openxmlformats.org/officeDocument/2006/relationships/package" Target="embeddings/Microsoft_PowerPoint_Slide66.sldx"/><Relationship Id="rId29" Type="http://schemas.openxmlformats.org/officeDocument/2006/relationships/hyperlink" Target="http://www.globalpropertyguide.com/Europe/United-Kingdom/Buying-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32" Type="http://schemas.openxmlformats.org/officeDocument/2006/relationships/hyperlink" Target="http://en.wikipedia.org/wiki/Local_income_tax"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hyperlink" Target="http://www.hmrc.gov.uk/sdlt/rates-tables.htm" TargetMode="External"/><Relationship Id="rId10" Type="http://schemas.openxmlformats.org/officeDocument/2006/relationships/package" Target="embeddings/Microsoft_PowerPoint_Slide11.sldx"/><Relationship Id="rId19" Type="http://schemas.openxmlformats.org/officeDocument/2006/relationships/image" Target="media/image6.emf"/><Relationship Id="rId31" Type="http://schemas.openxmlformats.org/officeDocument/2006/relationships/hyperlink" Target="http://en.wikipedia.org/wiki/Council_Ta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PowerPoint_Slide33.sldx"/><Relationship Id="rId22" Type="http://schemas.openxmlformats.org/officeDocument/2006/relationships/package" Target="embeddings/Microsoft_PowerPoint_Slide77.sldx"/><Relationship Id="rId27" Type="http://schemas.openxmlformats.org/officeDocument/2006/relationships/header" Target="header2.xml"/><Relationship Id="rId30" Type="http://schemas.openxmlformats.org/officeDocument/2006/relationships/hyperlink" Target="http://www.globalpropertyguide.com/Europe/United-Kingdom/Buying-Guid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27EEB-95A4-4F96-AD46-B7C411DC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8306</Words>
  <Characters>44856</Characters>
  <Application>Microsoft Office Word</Application>
  <DocSecurity>0</DocSecurity>
  <Lines>373</Lines>
  <Paragraphs>106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PINOURAKIS</dc:creator>
  <cp:lastModifiedBy>xristoskostopoulos</cp:lastModifiedBy>
  <cp:revision>2</cp:revision>
  <cp:lastPrinted>2014-08-21T11:43:00Z</cp:lastPrinted>
  <dcterms:created xsi:type="dcterms:W3CDTF">2014-09-24T10:38:00Z</dcterms:created>
  <dcterms:modified xsi:type="dcterms:W3CDTF">2014-09-24T10:38:00Z</dcterms:modified>
</cp:coreProperties>
</file>