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F07C" w14:textId="6F31D118" w:rsidR="00FC1A93" w:rsidRPr="0091342C" w:rsidRDefault="00FC1A93" w:rsidP="00FC1A93">
      <w:pPr>
        <w:spacing w:after="160"/>
        <w:jc w:val="center"/>
        <w:rPr>
          <w:rFonts w:cs="Calibri"/>
          <w:noProof/>
          <w:sz w:val="22"/>
          <w:szCs w:val="22"/>
          <w:lang w:eastAsia="el-GR"/>
        </w:rPr>
      </w:pPr>
      <w:r w:rsidRPr="0091342C">
        <w:rPr>
          <w:rFonts w:cs="Calibri"/>
          <w:noProof/>
          <w:sz w:val="22"/>
          <w:szCs w:val="22"/>
          <w:lang w:eastAsia="el-GR"/>
        </w:rPr>
        <w:drawing>
          <wp:inline distT="0" distB="0" distL="0" distR="0" wp14:anchorId="0E1BBFC7" wp14:editId="4C517183">
            <wp:extent cx="1879600" cy="749300"/>
            <wp:effectExtent l="0" t="0" r="6350" b="0"/>
            <wp:docPr id="15299383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749300"/>
                    </a:xfrm>
                    <a:prstGeom prst="rect">
                      <a:avLst/>
                    </a:prstGeom>
                    <a:noFill/>
                    <a:ln>
                      <a:noFill/>
                    </a:ln>
                  </pic:spPr>
                </pic:pic>
              </a:graphicData>
            </a:graphic>
          </wp:inline>
        </w:drawing>
      </w:r>
    </w:p>
    <w:p w14:paraId="5B4EB1EB" w14:textId="4943C37F" w:rsidR="00FC1A93" w:rsidRPr="0091342C" w:rsidRDefault="00FC1A93" w:rsidP="00FC1A93">
      <w:pPr>
        <w:jc w:val="right"/>
        <w:rPr>
          <w:rFonts w:cs="Calibri"/>
          <w:i/>
          <w:iCs/>
          <w:sz w:val="22"/>
          <w:szCs w:val="22"/>
        </w:rPr>
      </w:pPr>
      <w:r w:rsidRPr="0091342C">
        <w:rPr>
          <w:rFonts w:cs="Calibri"/>
          <w:b/>
          <w:bCs/>
          <w:sz w:val="22"/>
          <w:szCs w:val="22"/>
        </w:rPr>
        <w:t xml:space="preserve">  </w:t>
      </w:r>
      <w:r w:rsidRPr="0091342C">
        <w:rPr>
          <w:rFonts w:cs="Calibri"/>
          <w:i/>
          <w:iCs/>
          <w:sz w:val="22"/>
          <w:szCs w:val="22"/>
        </w:rPr>
        <w:t>Αθήνα,</w:t>
      </w:r>
      <w:r w:rsidR="003D4750" w:rsidRPr="0091342C">
        <w:rPr>
          <w:rFonts w:cs="Calibri"/>
          <w:i/>
          <w:iCs/>
          <w:sz w:val="22"/>
          <w:szCs w:val="22"/>
        </w:rPr>
        <w:t xml:space="preserve"> </w:t>
      </w:r>
      <w:r w:rsidR="00843311" w:rsidRPr="0091342C">
        <w:rPr>
          <w:rFonts w:cs="Calibri"/>
          <w:i/>
          <w:iCs/>
          <w:sz w:val="22"/>
          <w:szCs w:val="22"/>
        </w:rPr>
        <w:t>2</w:t>
      </w:r>
      <w:r w:rsidR="008A7C73">
        <w:rPr>
          <w:rFonts w:cs="Calibri"/>
          <w:i/>
          <w:iCs/>
          <w:sz w:val="22"/>
          <w:szCs w:val="22"/>
        </w:rPr>
        <w:t>6</w:t>
      </w:r>
      <w:r w:rsidR="003A64F9" w:rsidRPr="0091342C">
        <w:rPr>
          <w:rFonts w:cs="Calibri"/>
          <w:i/>
          <w:iCs/>
          <w:sz w:val="22"/>
          <w:szCs w:val="22"/>
        </w:rPr>
        <w:t>.</w:t>
      </w:r>
      <w:r w:rsidR="00916CF0" w:rsidRPr="0091342C">
        <w:rPr>
          <w:rFonts w:cs="Calibri"/>
          <w:i/>
          <w:iCs/>
          <w:sz w:val="22"/>
          <w:szCs w:val="22"/>
        </w:rPr>
        <w:t>0</w:t>
      </w:r>
      <w:r w:rsidR="00334275" w:rsidRPr="0091342C">
        <w:rPr>
          <w:rFonts w:cs="Calibri"/>
          <w:i/>
          <w:iCs/>
          <w:sz w:val="22"/>
          <w:szCs w:val="22"/>
        </w:rPr>
        <w:t>5</w:t>
      </w:r>
      <w:r w:rsidR="00EC3172" w:rsidRPr="0091342C">
        <w:rPr>
          <w:rFonts w:cs="Calibri"/>
          <w:i/>
          <w:iCs/>
          <w:sz w:val="22"/>
          <w:szCs w:val="22"/>
        </w:rPr>
        <w:t>.</w:t>
      </w:r>
      <w:r w:rsidRPr="0091342C">
        <w:rPr>
          <w:rFonts w:cs="Calibri"/>
          <w:i/>
          <w:iCs/>
          <w:sz w:val="22"/>
          <w:szCs w:val="22"/>
        </w:rPr>
        <w:t>202</w:t>
      </w:r>
      <w:r w:rsidR="00270109" w:rsidRPr="0091342C">
        <w:rPr>
          <w:rFonts w:cs="Calibri"/>
          <w:i/>
          <w:iCs/>
          <w:sz w:val="22"/>
          <w:szCs w:val="22"/>
        </w:rPr>
        <w:t>6</w:t>
      </w:r>
    </w:p>
    <w:p w14:paraId="44C64455" w14:textId="77777777" w:rsidR="00AB0CD3" w:rsidRPr="0091342C" w:rsidRDefault="00AB0CD3" w:rsidP="00AB0CD3">
      <w:pPr>
        <w:jc w:val="center"/>
        <w:rPr>
          <w:rFonts w:cs="Calibri"/>
          <w:b/>
          <w:bCs/>
          <w:sz w:val="22"/>
          <w:szCs w:val="22"/>
        </w:rPr>
      </w:pPr>
    </w:p>
    <w:p w14:paraId="6C874AF4" w14:textId="77777777" w:rsidR="0091342C" w:rsidRPr="0091342C" w:rsidRDefault="0091342C" w:rsidP="0091342C">
      <w:pPr>
        <w:spacing w:before="100" w:beforeAutospacing="1" w:after="100" w:afterAutospacing="1"/>
        <w:jc w:val="center"/>
        <w:rPr>
          <w:rFonts w:eastAsia="Times New Roman" w:cs="Calibri"/>
          <w:sz w:val="22"/>
          <w:szCs w:val="22"/>
          <w:lang w:eastAsia="el-GR"/>
        </w:rPr>
      </w:pPr>
      <w:r w:rsidRPr="0091342C">
        <w:rPr>
          <w:rFonts w:eastAsia="Times New Roman" w:cs="Calibri"/>
          <w:b/>
          <w:bCs/>
          <w:sz w:val="22"/>
          <w:szCs w:val="22"/>
          <w:lang w:eastAsia="el-GR"/>
        </w:rPr>
        <w:t>ΕΡΩΤΗΣΗ</w:t>
      </w:r>
      <w:r w:rsidRPr="0091342C">
        <w:rPr>
          <w:rFonts w:eastAsia="Times New Roman" w:cs="Calibri"/>
          <w:sz w:val="22"/>
          <w:szCs w:val="22"/>
          <w:lang w:eastAsia="el-GR"/>
        </w:rPr>
        <w:br/>
        <w:t>Προς την Υπουργό Παιδείας, Θρησκευμάτων και Αθλητισμού</w:t>
      </w:r>
    </w:p>
    <w:p w14:paraId="1D536A14" w14:textId="77777777" w:rsidR="0091342C" w:rsidRPr="0091342C" w:rsidRDefault="0091342C" w:rsidP="0091342C">
      <w:pPr>
        <w:spacing w:before="100" w:beforeAutospacing="1" w:after="100" w:afterAutospacing="1"/>
        <w:rPr>
          <w:rFonts w:eastAsia="Times New Roman" w:cs="Calibri"/>
          <w:b/>
          <w:bCs/>
          <w:sz w:val="22"/>
          <w:szCs w:val="22"/>
          <w:lang w:eastAsia="el-GR"/>
        </w:rPr>
      </w:pPr>
      <w:r w:rsidRPr="0091342C">
        <w:rPr>
          <w:rFonts w:eastAsia="Times New Roman" w:cs="Calibri"/>
          <w:b/>
          <w:bCs/>
          <w:sz w:val="22"/>
          <w:szCs w:val="22"/>
          <w:lang w:eastAsia="el-GR"/>
        </w:rPr>
        <w:t xml:space="preserve">Θέμα: Νέα έρευνα της Ευρωπαϊκής Εισαγγελίας για διαγωνισμό 120 εκατ. ευρώ του Υπουργείου Παιδείας για  διαδραστικούς πίνακες </w:t>
      </w:r>
    </w:p>
    <w:p w14:paraId="2419496C"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Σύμφωνα με πρόσφατο δημοσίευμα των Data Journalists, η Ευρωπαϊκή Εισαγγελία διεξάγει κατεπείγουσα έρευνα σχετικά με τον διαγωνισμό του Υπουργείου Παιδείας για την προμήθεια και εγκατάσταση 36.000 διαδραστικών συστημάτων μάθησης σε σχολεία της πρωτοβάθμιας και δευτεροβάθμιας εκπαίδευσης, έργο συνολικού ύψους περίπου 120 εκατ. ευρώ, χρηματοδοτούμενο από το Ταμείο Ανάκαμψης και Ανθεκτικότητας.</w:t>
      </w:r>
    </w:p>
    <w:p w14:paraId="79228B00"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Η έρευνα της Ευρωπαϊκής Εισαγγελίας φέρεται να αφορά ενδεχόμενη κακουργηματική απιστία σε βάρος του κοινοτικού προϋπολογισμού, ενώ ήδη έχουν κληθεί μάρτυρες στο πλαίσιο σχηματισθείσας δικογραφίας μετά από καταγγελία επιχειρηματία προς την Ευρωπαϊκή Εισαγγελία και την Επιτροπή Ανταγωνισμού.</w:t>
      </w:r>
    </w:p>
    <w:p w14:paraId="3D3B65E1"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Ιδιαίτερη ανησυχία προκαλούν τα στοιχεία που παρατίθενται σχετικά με τη δομή και την έκβαση του διαγωνισμού. Το έργο χωρίστηκε σε τρία επιμέρους τμήματα της σύμβασης, ενώ τελικά κάθε ένα από τα τρία συμμετέχοντα σχήματα ανέλαβε από ένα διαφορετικό τμήμα του έργου. Παράλληλα, οι οικονομικές προσφορές εμφάνισαν εξαιρετικά μικρές αποκλίσεις, με εκπτώσεις που κυμάνθηκαν από 0,01% έως 0,26%, γεγονός που γεννά εύλογα ερωτήματα ως προς τον πραγματικό ανταγωνισμό και τη διασφάλιση του δημοσίου συμφέροντος.</w:t>
      </w:r>
    </w:p>
    <w:p w14:paraId="2AC02B5A"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Περαιτέρω, σύμφωνα με το ίδιο δημοσίευμα, ενώ στη δημόσια διαβούλευση συμμετείχαν αρκετές εταιρείες με εξειδίκευση στους διαδραστικούς πίνακες, τελικά καμία εξ αυτών δεν συμμετείχε στον διαγωνισμό. Το γεγονός αυτό εντείνει τις αμφιβολίες σχετικά με τους όρους του διαγωνισμού, τη δυνατότητα ουσιαστικού ανταγωνισμού και τη διαφάνεια της διαδικασίας.</w:t>
      </w:r>
    </w:p>
    <w:p w14:paraId="294BE188"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Ανάλογα ερωτήματα έχουν εγερθεί και για άλλον διαγωνισμό του Υπουργείου Παιδείας, ύψους 30 εκατ. ευρώ, για την προμήθεια εξοπλισμού ρομποτικής και STEM, όπου επίσης το έργο κατατμήθηκε σε επιμέρους τμήματα και κάθε συμμετέχουσα εταιρεία ανέλαβε διαφορετικό τμήμα χωρίς ουσιαστικό ανταγωνισμό.</w:t>
      </w:r>
    </w:p>
    <w:p w14:paraId="5F17DCF8"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b/>
          <w:bCs/>
          <w:sz w:val="22"/>
          <w:szCs w:val="22"/>
          <w:lang w:eastAsia="el-GR"/>
        </w:rPr>
        <w:t>Επειδή</w:t>
      </w:r>
      <w:r w:rsidRPr="0091342C">
        <w:rPr>
          <w:rFonts w:eastAsia="Times New Roman" w:cs="Calibri"/>
          <w:sz w:val="22"/>
          <w:szCs w:val="22"/>
          <w:lang w:eastAsia="el-GR"/>
        </w:rPr>
        <w:t xml:space="preserve"> πρόκειται για έργα που χρηματοδοτήθηκαν από ευρωπαϊκούς πόρους και αφορούν κρίσιμες υποδομές της δημόσιας εκπαίδευσης,</w:t>
      </w:r>
    </w:p>
    <w:p w14:paraId="318509A2"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b/>
          <w:bCs/>
          <w:sz w:val="22"/>
          <w:szCs w:val="22"/>
          <w:lang w:eastAsia="el-GR"/>
        </w:rPr>
        <w:t>Επειδή</w:t>
      </w:r>
      <w:r w:rsidRPr="0091342C">
        <w:rPr>
          <w:rFonts w:eastAsia="Times New Roman" w:cs="Calibri"/>
          <w:sz w:val="22"/>
          <w:szCs w:val="22"/>
          <w:lang w:eastAsia="el-GR"/>
        </w:rPr>
        <w:t xml:space="preserve"> η διερεύνηση από την Ευρωπαϊκή Εισαγγελία συνιστά εξαιρετικά σοβαρή εξέλιξη,</w:t>
      </w:r>
    </w:p>
    <w:p w14:paraId="57CF6923"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b/>
          <w:bCs/>
          <w:sz w:val="22"/>
          <w:szCs w:val="22"/>
          <w:lang w:eastAsia="el-GR"/>
        </w:rPr>
        <w:t>Επειδή</w:t>
      </w:r>
      <w:r w:rsidRPr="0091342C">
        <w:rPr>
          <w:rFonts w:eastAsia="Times New Roman" w:cs="Calibri"/>
          <w:sz w:val="22"/>
          <w:szCs w:val="22"/>
          <w:lang w:eastAsia="el-GR"/>
        </w:rPr>
        <w:t xml:space="preserve"> η διαφάνεια, η προστασία του δημόσιου χρήματος και η διασφάλιση πραγματικού ανταγωνισμού αποτελούν θεμελιώδεις υποχρεώσεις της Πολιτείας,</w:t>
      </w:r>
    </w:p>
    <w:p w14:paraId="4B014306" w14:textId="77777777" w:rsidR="0091342C" w:rsidRPr="0091342C" w:rsidRDefault="0091342C" w:rsidP="0091342C">
      <w:pPr>
        <w:spacing w:before="100" w:beforeAutospacing="1" w:after="100" w:afterAutospacing="1"/>
        <w:jc w:val="both"/>
        <w:rPr>
          <w:rFonts w:eastAsia="Times New Roman" w:cs="Calibri"/>
          <w:sz w:val="22"/>
          <w:szCs w:val="22"/>
          <w:lang w:eastAsia="el-GR"/>
        </w:rPr>
      </w:pPr>
      <w:r w:rsidRPr="0091342C">
        <w:rPr>
          <w:rFonts w:eastAsia="Times New Roman" w:cs="Calibri"/>
          <w:sz w:val="22"/>
          <w:szCs w:val="22"/>
          <w:lang w:eastAsia="el-GR"/>
        </w:rPr>
        <w:t>Ερωτάται η αρμόδια Υπουργός:</w:t>
      </w:r>
    </w:p>
    <w:p w14:paraId="0A7518D2"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lastRenderedPageBreak/>
        <w:t>Έχει ζητήσει το Υπουργείο Παιδείας ενημέρωση από την Ευρωπαϊκή Εισαγγελία ή άλλη αρμόδια αρχή σχετικά με την πορεία της έρευνας για τον διαγωνισμό των διαδραστικών πινάκων;</w:t>
      </w:r>
    </w:p>
    <w:p w14:paraId="4945E962"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t>Πώς εξηγεί το Υπουργείο το γεγονός ότι κάθε ανάδοχος ανέλαβε διαφορετικό επιμέρους τμήμα του έργου, καθώς και τις ελάχιστες αποκλίσεις μεταξύ των οικονομικών προσφορών;</w:t>
      </w:r>
    </w:p>
    <w:p w14:paraId="1A173E2E"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t>Για ποιο λόγο, ενώ στη διαβούλευση συμμετείχαν εταιρείες με εξειδίκευση στους διαδραστικούς πίνακες, τελικά καμία δεν συμμετείχε στον διαγωνισμό;</w:t>
      </w:r>
    </w:p>
    <w:p w14:paraId="08B91B91"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t>Έχει διενεργηθεί οποιοσδήποτε εσωτερικός ή διοικητικός έλεγχος από το Υπουργείο σχετικά με τη διαδικασία ανάθεσης και την κοστολόγηση του έργου;</w:t>
      </w:r>
    </w:p>
    <w:p w14:paraId="40634DA3"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t>Προτίθεται το Υπουργείο να δημοσιοποιήσει όλα τα πρακτικά αξιολόγησης, τις τεχνικές βαθμολογίες και τα στοιχεία κοστολόγησης των προσφορών;</w:t>
      </w:r>
    </w:p>
    <w:p w14:paraId="3CA63663" w14:textId="77777777" w:rsidR="0091342C" w:rsidRPr="0091342C" w:rsidRDefault="0091342C" w:rsidP="0091342C">
      <w:pPr>
        <w:numPr>
          <w:ilvl w:val="0"/>
          <w:numId w:val="22"/>
        </w:numPr>
        <w:spacing w:before="100" w:beforeAutospacing="1" w:after="100" w:afterAutospacing="1" w:line="259" w:lineRule="auto"/>
        <w:jc w:val="both"/>
        <w:rPr>
          <w:rFonts w:eastAsia="Times New Roman" w:cs="Calibri"/>
          <w:sz w:val="22"/>
          <w:szCs w:val="22"/>
          <w:lang w:eastAsia="el-GR"/>
        </w:rPr>
      </w:pPr>
      <w:r w:rsidRPr="0091342C">
        <w:rPr>
          <w:rFonts w:eastAsia="Times New Roman" w:cs="Calibri"/>
          <w:sz w:val="22"/>
          <w:szCs w:val="22"/>
          <w:lang w:eastAsia="el-GR"/>
        </w:rPr>
        <w:t>Υπάρχει επικοινωνία ή συνεργασία του Υπουργείου με την Επιτροπή Ανταγωνισμού σχετικά με τη διερεύνηση πιθανής νόθευσης ανταγωνισμού στους συγκεκριμένους διαγωνισμούς;</w:t>
      </w:r>
    </w:p>
    <w:p w14:paraId="4F815B71" w14:textId="77777777" w:rsidR="0091342C" w:rsidRDefault="0091342C" w:rsidP="0091342C">
      <w:pPr>
        <w:spacing w:after="160" w:line="259" w:lineRule="auto"/>
        <w:jc w:val="both"/>
        <w:rPr>
          <w:rFonts w:eastAsiaTheme="minorHAnsi" w:cs="Calibri"/>
          <w:kern w:val="2"/>
          <w:sz w:val="22"/>
          <w:szCs w:val="22"/>
          <w14:ligatures w14:val="standardContextual"/>
        </w:rPr>
      </w:pPr>
    </w:p>
    <w:p w14:paraId="24D2AC97" w14:textId="77777777" w:rsidR="00B965C1" w:rsidRPr="00C15FA7" w:rsidRDefault="00B965C1" w:rsidP="00B965C1">
      <w:pPr>
        <w:spacing w:after="160" w:line="259" w:lineRule="auto"/>
        <w:jc w:val="right"/>
        <w:rPr>
          <w:rFonts w:cs="Calibri"/>
          <w:b/>
          <w:bCs/>
          <w:sz w:val="22"/>
          <w:szCs w:val="22"/>
          <w:lang w:eastAsia="el-GR"/>
        </w:rPr>
      </w:pPr>
      <w:r w:rsidRPr="00C15FA7">
        <w:rPr>
          <w:rFonts w:cs="Calibri"/>
          <w:b/>
          <w:bCs/>
          <w:sz w:val="22"/>
          <w:szCs w:val="22"/>
          <w:lang w:eastAsia="el-GR"/>
        </w:rPr>
        <w:t xml:space="preserve">Οι </w:t>
      </w:r>
      <w:r>
        <w:rPr>
          <w:rFonts w:cs="Calibri"/>
          <w:b/>
          <w:bCs/>
          <w:sz w:val="22"/>
          <w:szCs w:val="22"/>
          <w:lang w:eastAsia="el-GR"/>
        </w:rPr>
        <w:t xml:space="preserve">ερωτώντες </w:t>
      </w:r>
      <w:r w:rsidRPr="00C15FA7">
        <w:rPr>
          <w:rFonts w:cs="Calibri"/>
          <w:b/>
          <w:bCs/>
          <w:sz w:val="22"/>
          <w:szCs w:val="22"/>
          <w:lang w:eastAsia="el-GR"/>
        </w:rPr>
        <w:t xml:space="preserve"> Βουλευτές</w:t>
      </w:r>
    </w:p>
    <w:p w14:paraId="4133E0AA" w14:textId="77777777" w:rsidR="00B965C1" w:rsidRPr="00C15FA7" w:rsidRDefault="00B965C1" w:rsidP="00B965C1">
      <w:pPr>
        <w:spacing w:after="160" w:line="259" w:lineRule="auto"/>
        <w:jc w:val="right"/>
        <w:rPr>
          <w:rFonts w:cs="Calibri"/>
          <w:sz w:val="22"/>
          <w:szCs w:val="22"/>
          <w:lang w:eastAsia="el-GR"/>
        </w:rPr>
      </w:pPr>
      <w:r w:rsidRPr="00C15FA7">
        <w:rPr>
          <w:rFonts w:cs="Calibri"/>
          <w:sz w:val="22"/>
          <w:szCs w:val="22"/>
          <w:lang w:eastAsia="el-GR"/>
        </w:rPr>
        <w:t>Πέρκα Θεοπίστη (Πέτη)</w:t>
      </w:r>
    </w:p>
    <w:p w14:paraId="7E3EC25B" w14:textId="77777777" w:rsidR="00B965C1" w:rsidRDefault="00B965C1" w:rsidP="00B965C1">
      <w:pPr>
        <w:spacing w:after="160" w:line="259" w:lineRule="auto"/>
        <w:jc w:val="right"/>
        <w:rPr>
          <w:rFonts w:cs="Calibri"/>
          <w:sz w:val="22"/>
          <w:szCs w:val="22"/>
          <w:lang w:eastAsia="el-GR"/>
        </w:rPr>
      </w:pPr>
      <w:r w:rsidRPr="00C15FA7">
        <w:rPr>
          <w:rFonts w:cs="Calibri"/>
          <w:sz w:val="22"/>
          <w:szCs w:val="22"/>
          <w:lang w:eastAsia="el-GR"/>
        </w:rPr>
        <w:t>Αναγνωστοπούλου Αθανασία (Σία)</w:t>
      </w:r>
    </w:p>
    <w:p w14:paraId="48B30CC7" w14:textId="77777777" w:rsidR="00B965C1" w:rsidRDefault="00B965C1" w:rsidP="00B965C1">
      <w:pPr>
        <w:spacing w:after="160" w:line="259" w:lineRule="auto"/>
        <w:jc w:val="right"/>
        <w:rPr>
          <w:rFonts w:cs="Calibri"/>
          <w:sz w:val="22"/>
          <w:szCs w:val="22"/>
          <w:lang w:eastAsia="el-GR"/>
        </w:rPr>
      </w:pPr>
      <w:r w:rsidRPr="00C15FA7">
        <w:rPr>
          <w:rFonts w:cs="Calibri"/>
          <w:sz w:val="22"/>
          <w:szCs w:val="22"/>
          <w:lang w:eastAsia="el-GR"/>
        </w:rPr>
        <w:t>Δρίτσας Θεόδωρος</w:t>
      </w:r>
    </w:p>
    <w:p w14:paraId="17FE018B" w14:textId="77777777" w:rsidR="00B965C1" w:rsidRDefault="00B965C1" w:rsidP="00B965C1">
      <w:pPr>
        <w:spacing w:after="160" w:line="259" w:lineRule="auto"/>
        <w:jc w:val="right"/>
        <w:rPr>
          <w:rFonts w:cs="Calibri"/>
          <w:sz w:val="22"/>
          <w:szCs w:val="22"/>
          <w:lang w:eastAsia="el-GR"/>
        </w:rPr>
      </w:pPr>
      <w:r w:rsidRPr="000F57C2">
        <w:rPr>
          <w:rFonts w:cs="Calibri"/>
          <w:sz w:val="22"/>
          <w:szCs w:val="22"/>
          <w:lang w:eastAsia="el-GR"/>
        </w:rPr>
        <w:t>Ζεϊμπέκ Χουσεΐν</w:t>
      </w:r>
    </w:p>
    <w:p w14:paraId="068DDD68" w14:textId="77777777" w:rsidR="00B965C1" w:rsidRDefault="00B965C1" w:rsidP="00B965C1">
      <w:pPr>
        <w:spacing w:after="160" w:line="259" w:lineRule="auto"/>
        <w:jc w:val="right"/>
        <w:rPr>
          <w:rFonts w:cs="Calibri"/>
          <w:sz w:val="22"/>
          <w:szCs w:val="22"/>
          <w:lang w:eastAsia="el-GR"/>
        </w:rPr>
      </w:pPr>
      <w:r w:rsidRPr="000F57C2">
        <w:rPr>
          <w:rFonts w:cs="Calibri"/>
          <w:sz w:val="22"/>
          <w:szCs w:val="22"/>
          <w:lang w:eastAsia="el-GR"/>
        </w:rPr>
        <w:t>Η</w:t>
      </w:r>
      <w:r w:rsidRPr="00C15FA7">
        <w:rPr>
          <w:rFonts w:cs="Calibri"/>
          <w:sz w:val="22"/>
          <w:szCs w:val="22"/>
          <w:lang w:eastAsia="el-GR"/>
        </w:rPr>
        <w:t>λιόπουλος Αθανάσιος (Νάσος)</w:t>
      </w:r>
    </w:p>
    <w:p w14:paraId="54BC5CC9" w14:textId="7EFD4AAD" w:rsidR="00E56FBA" w:rsidRPr="00C15FA7" w:rsidRDefault="00E56FBA" w:rsidP="00B965C1">
      <w:pPr>
        <w:spacing w:after="160" w:line="259" w:lineRule="auto"/>
        <w:jc w:val="right"/>
        <w:rPr>
          <w:rFonts w:cs="Calibri"/>
          <w:sz w:val="22"/>
          <w:szCs w:val="22"/>
          <w:lang w:eastAsia="el-GR"/>
        </w:rPr>
      </w:pPr>
      <w:r>
        <w:rPr>
          <w:rFonts w:cs="Calibri"/>
          <w:sz w:val="22"/>
          <w:szCs w:val="22"/>
          <w:lang w:eastAsia="el-GR"/>
        </w:rPr>
        <w:t>Τζανακόπουλος Δημήτρης</w:t>
      </w:r>
    </w:p>
    <w:p w14:paraId="0B73A332" w14:textId="77777777" w:rsidR="00B965C1" w:rsidRDefault="00B965C1" w:rsidP="00B965C1">
      <w:pPr>
        <w:spacing w:after="160" w:line="259" w:lineRule="auto"/>
        <w:jc w:val="right"/>
        <w:rPr>
          <w:rFonts w:cs="Calibri"/>
          <w:sz w:val="22"/>
          <w:szCs w:val="22"/>
          <w:lang w:eastAsia="el-GR"/>
        </w:rPr>
      </w:pPr>
      <w:r w:rsidRPr="00C15FA7">
        <w:rPr>
          <w:rFonts w:cs="Calibri"/>
          <w:sz w:val="22"/>
          <w:szCs w:val="22"/>
          <w:lang w:eastAsia="el-GR"/>
        </w:rPr>
        <w:t>Τζούφη Μερόπη</w:t>
      </w:r>
    </w:p>
    <w:p w14:paraId="343EAD7D" w14:textId="65228E84" w:rsidR="006C721D" w:rsidRDefault="006C721D" w:rsidP="00B965C1">
      <w:pPr>
        <w:spacing w:after="160" w:line="259" w:lineRule="auto"/>
        <w:jc w:val="right"/>
        <w:rPr>
          <w:rFonts w:cs="Calibri"/>
          <w:sz w:val="22"/>
          <w:szCs w:val="22"/>
          <w:lang w:eastAsia="el-GR"/>
        </w:rPr>
      </w:pPr>
      <w:r>
        <w:rPr>
          <w:rFonts w:cs="Calibri"/>
          <w:sz w:val="22"/>
          <w:szCs w:val="22"/>
          <w:lang w:eastAsia="el-GR"/>
        </w:rPr>
        <w:t>Τσακαλώτος Ευκλείδης</w:t>
      </w:r>
    </w:p>
    <w:p w14:paraId="6E48626B" w14:textId="77777777" w:rsidR="00B965C1" w:rsidRDefault="00B965C1" w:rsidP="00B965C1">
      <w:pPr>
        <w:spacing w:after="160" w:line="259" w:lineRule="auto"/>
        <w:jc w:val="right"/>
        <w:rPr>
          <w:rFonts w:cs="Calibri"/>
          <w:sz w:val="22"/>
          <w:szCs w:val="22"/>
          <w:lang w:eastAsia="el-GR"/>
        </w:rPr>
      </w:pPr>
      <w:r>
        <w:rPr>
          <w:rFonts w:cs="Calibri"/>
          <w:sz w:val="22"/>
          <w:szCs w:val="22"/>
          <w:lang w:eastAsia="el-GR"/>
        </w:rPr>
        <w:t>Φωτίου Θεανώ</w:t>
      </w:r>
    </w:p>
    <w:p w14:paraId="69F497FB" w14:textId="77777777" w:rsidR="00B965C1" w:rsidRPr="000F57C2" w:rsidRDefault="00B965C1" w:rsidP="00B965C1">
      <w:pPr>
        <w:spacing w:after="160" w:line="259" w:lineRule="auto"/>
        <w:jc w:val="right"/>
        <w:rPr>
          <w:rFonts w:cs="Calibri"/>
          <w:sz w:val="22"/>
          <w:szCs w:val="22"/>
          <w:lang w:eastAsia="el-GR"/>
        </w:rPr>
      </w:pPr>
    </w:p>
    <w:p w14:paraId="677774CA" w14:textId="77777777" w:rsidR="00B965C1" w:rsidRPr="00B3302E" w:rsidRDefault="00B965C1" w:rsidP="00B965C1">
      <w:pPr>
        <w:pStyle w:val="Web"/>
        <w:tabs>
          <w:tab w:val="left" w:pos="4020"/>
        </w:tabs>
        <w:jc w:val="both"/>
        <w:rPr>
          <w:rFonts w:ascii="Calibri" w:hAnsi="Calibri" w:cs="Calibri"/>
          <w:sz w:val="22"/>
          <w:szCs w:val="22"/>
        </w:rPr>
      </w:pPr>
    </w:p>
    <w:p w14:paraId="6CC845D8" w14:textId="77777777" w:rsidR="00B965C1" w:rsidRPr="00B3302E" w:rsidRDefault="00B965C1" w:rsidP="00B965C1">
      <w:pPr>
        <w:pStyle w:val="Web"/>
        <w:spacing w:before="0" w:beforeAutospacing="0" w:after="0" w:afterAutospacing="0"/>
        <w:rPr>
          <w:rFonts w:ascii="Calibri" w:hAnsi="Calibri" w:cs="Calibri"/>
          <w:b/>
          <w:bCs/>
          <w:sz w:val="22"/>
          <w:szCs w:val="22"/>
        </w:rPr>
      </w:pPr>
    </w:p>
    <w:p w14:paraId="32B3550D" w14:textId="77777777" w:rsidR="00B965C1" w:rsidRPr="0091342C" w:rsidRDefault="00B965C1" w:rsidP="0091342C">
      <w:pPr>
        <w:spacing w:after="160" w:line="259" w:lineRule="auto"/>
        <w:jc w:val="both"/>
        <w:rPr>
          <w:rFonts w:eastAsiaTheme="minorHAnsi" w:cs="Calibri"/>
          <w:kern w:val="2"/>
          <w:sz w:val="22"/>
          <w:szCs w:val="22"/>
          <w14:ligatures w14:val="standardContextual"/>
        </w:rPr>
      </w:pPr>
    </w:p>
    <w:p w14:paraId="0A07F2CC" w14:textId="3E319B74" w:rsidR="002E33AD" w:rsidRPr="0091342C" w:rsidRDefault="002E33AD" w:rsidP="007E6E4B">
      <w:pPr>
        <w:pStyle w:val="Web"/>
        <w:spacing w:before="0" w:beforeAutospacing="0" w:after="0" w:afterAutospacing="0"/>
        <w:jc w:val="both"/>
        <w:rPr>
          <w:rFonts w:ascii="Calibri" w:hAnsi="Calibri" w:cs="Calibri"/>
          <w:sz w:val="22"/>
          <w:szCs w:val="22"/>
        </w:rPr>
      </w:pPr>
    </w:p>
    <w:sectPr w:rsidR="002E33AD" w:rsidRPr="0091342C" w:rsidSect="00FC1A93">
      <w:headerReference w:type="default" r:id="rId9"/>
      <w:footerReference w:type="even" r:id="rId10"/>
      <w:footerReference w:type="default" r:id="rId11"/>
      <w:pgSz w:w="11900" w:h="16840"/>
      <w:pgMar w:top="1440" w:right="1440" w:bottom="1440" w:left="1440" w:header="106"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E8D7" w14:textId="77777777" w:rsidR="0068270B" w:rsidRDefault="0068270B">
      <w:r>
        <w:separator/>
      </w:r>
    </w:p>
  </w:endnote>
  <w:endnote w:type="continuationSeparator" w:id="0">
    <w:p w14:paraId="6DC68268" w14:textId="77777777" w:rsidR="0068270B" w:rsidRDefault="0068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A3BF" w14:textId="77777777" w:rsidR="00FC1A93" w:rsidRDefault="00FC1A93">
    <w:pPr>
      <w:pStyle w:val="aa"/>
      <w:jc w:val="right"/>
    </w:pPr>
    <w:r>
      <w:fldChar w:fldCharType="begin"/>
    </w:r>
    <w:r>
      <w:instrText xml:space="preserve"> PAGE   \* MERGEFORMAT </w:instrText>
    </w:r>
    <w:r>
      <w:fldChar w:fldCharType="separate"/>
    </w:r>
    <w:r>
      <w:rPr>
        <w:noProof/>
      </w:rPr>
      <w:t>4</w:t>
    </w:r>
    <w:r>
      <w:fldChar w:fldCharType="end"/>
    </w:r>
  </w:p>
  <w:p w14:paraId="2B75A0CB" w14:textId="77777777" w:rsidR="00FC1A93" w:rsidRDefault="00FC1A9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86F0" w14:textId="77777777" w:rsidR="00FC1A93" w:rsidRDefault="00FC1A93">
    <w:pPr>
      <w:pStyle w:val="aa"/>
      <w:jc w:val="right"/>
    </w:pPr>
    <w:r>
      <w:fldChar w:fldCharType="begin"/>
    </w:r>
    <w:r>
      <w:instrText xml:space="preserve"> PAGE   \* MERGEFORMAT </w:instrText>
    </w:r>
    <w:r>
      <w:fldChar w:fldCharType="separate"/>
    </w:r>
    <w:r>
      <w:rPr>
        <w:noProof/>
      </w:rPr>
      <w:t>1</w:t>
    </w:r>
    <w:r>
      <w:fldChar w:fldCharType="end"/>
    </w:r>
  </w:p>
  <w:p w14:paraId="718C72F6" w14:textId="77777777" w:rsidR="00FC1A93" w:rsidRPr="00E23DF9" w:rsidRDefault="00FC1A93" w:rsidP="00805924">
    <w:pPr>
      <w:pStyle w:val="aa"/>
      <w:jc w:val="center"/>
      <w:rPr>
        <w:rFonts w:ascii="Times New Roman" w:hAnsi="Times New Roman"/>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3BA2" w14:textId="77777777" w:rsidR="0068270B" w:rsidRDefault="0068270B">
      <w:r>
        <w:separator/>
      </w:r>
    </w:p>
  </w:footnote>
  <w:footnote w:type="continuationSeparator" w:id="0">
    <w:p w14:paraId="184EEC9A" w14:textId="77777777" w:rsidR="0068270B" w:rsidRDefault="0068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34D9" w14:textId="77777777" w:rsidR="00FC1A93" w:rsidRPr="00A52ECD" w:rsidRDefault="00FC1A93" w:rsidP="00A52ECD">
    <w:pPr>
      <w:jc w:val="center"/>
      <w:rPr>
        <w:rFonts w:ascii="Times New Roman" w:eastAsia="Times New Roman" w:hAnsi="Times New Roman"/>
        <w:sz w:val="22"/>
        <w:szCs w:val="22"/>
        <w:lang w:eastAsia="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512"/>
    <w:multiLevelType w:val="multilevel"/>
    <w:tmpl w:val="C436E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79E5"/>
    <w:multiLevelType w:val="multilevel"/>
    <w:tmpl w:val="5402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D6665"/>
    <w:multiLevelType w:val="multilevel"/>
    <w:tmpl w:val="FA624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63B7F"/>
    <w:multiLevelType w:val="hybridMultilevel"/>
    <w:tmpl w:val="7280FA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8E2415"/>
    <w:multiLevelType w:val="multilevel"/>
    <w:tmpl w:val="05E6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0304F"/>
    <w:multiLevelType w:val="multilevel"/>
    <w:tmpl w:val="FC50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92C6C"/>
    <w:multiLevelType w:val="multilevel"/>
    <w:tmpl w:val="DB0E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E25FC1"/>
    <w:multiLevelType w:val="hybridMultilevel"/>
    <w:tmpl w:val="44E8CF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187D76"/>
    <w:multiLevelType w:val="multilevel"/>
    <w:tmpl w:val="E71C9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06AE6"/>
    <w:multiLevelType w:val="hybridMultilevel"/>
    <w:tmpl w:val="2C7299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0C7244C"/>
    <w:multiLevelType w:val="hybridMultilevel"/>
    <w:tmpl w:val="EF4A9D8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965333D"/>
    <w:multiLevelType w:val="multilevel"/>
    <w:tmpl w:val="D5EC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96D16"/>
    <w:multiLevelType w:val="hybridMultilevel"/>
    <w:tmpl w:val="A7CCE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0654B93"/>
    <w:multiLevelType w:val="multilevel"/>
    <w:tmpl w:val="F770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421A2B"/>
    <w:multiLevelType w:val="hybridMultilevel"/>
    <w:tmpl w:val="742E6F8C"/>
    <w:lvl w:ilvl="0" w:tplc="917E2AD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8F12AEB"/>
    <w:multiLevelType w:val="multilevel"/>
    <w:tmpl w:val="89B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259C7"/>
    <w:multiLevelType w:val="hybridMultilevel"/>
    <w:tmpl w:val="D534A7A8"/>
    <w:lvl w:ilvl="0" w:tplc="47BC8312">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CC75563"/>
    <w:multiLevelType w:val="multilevel"/>
    <w:tmpl w:val="BAA8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52842"/>
    <w:multiLevelType w:val="multilevel"/>
    <w:tmpl w:val="26AC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F29E9"/>
    <w:multiLevelType w:val="multilevel"/>
    <w:tmpl w:val="356C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0730B"/>
    <w:multiLevelType w:val="multilevel"/>
    <w:tmpl w:val="A0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91859"/>
    <w:multiLevelType w:val="hybridMultilevel"/>
    <w:tmpl w:val="9C469B0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num w:numId="1" w16cid:durableId="1133598732">
    <w:abstractNumId w:val="10"/>
  </w:num>
  <w:num w:numId="2" w16cid:durableId="1132940434">
    <w:abstractNumId w:val="21"/>
  </w:num>
  <w:num w:numId="3" w16cid:durableId="620965219">
    <w:abstractNumId w:val="9"/>
  </w:num>
  <w:num w:numId="4" w16cid:durableId="1368602095">
    <w:abstractNumId w:val="14"/>
  </w:num>
  <w:num w:numId="5" w16cid:durableId="2095466851">
    <w:abstractNumId w:val="4"/>
  </w:num>
  <w:num w:numId="6" w16cid:durableId="144781018">
    <w:abstractNumId w:val="19"/>
  </w:num>
  <w:num w:numId="7" w16cid:durableId="2075161464">
    <w:abstractNumId w:val="13"/>
  </w:num>
  <w:num w:numId="8" w16cid:durableId="109980045">
    <w:abstractNumId w:val="0"/>
  </w:num>
  <w:num w:numId="9" w16cid:durableId="1178348265">
    <w:abstractNumId w:val="8"/>
  </w:num>
  <w:num w:numId="10" w16cid:durableId="679819958">
    <w:abstractNumId w:val="15"/>
  </w:num>
  <w:num w:numId="11" w16cid:durableId="85197908">
    <w:abstractNumId w:val="2"/>
  </w:num>
  <w:num w:numId="12" w16cid:durableId="936016507">
    <w:abstractNumId w:val="5"/>
  </w:num>
  <w:num w:numId="13" w16cid:durableId="512652003">
    <w:abstractNumId w:val="7"/>
  </w:num>
  <w:num w:numId="14" w16cid:durableId="825050134">
    <w:abstractNumId w:val="12"/>
  </w:num>
  <w:num w:numId="15" w16cid:durableId="1040861597">
    <w:abstractNumId w:val="16"/>
  </w:num>
  <w:num w:numId="16" w16cid:durableId="1469011316">
    <w:abstractNumId w:val="3"/>
  </w:num>
  <w:num w:numId="17" w16cid:durableId="621888533">
    <w:abstractNumId w:val="11"/>
  </w:num>
  <w:num w:numId="18" w16cid:durableId="1062949194">
    <w:abstractNumId w:val="1"/>
  </w:num>
  <w:num w:numId="19" w16cid:durableId="836265913">
    <w:abstractNumId w:val="18"/>
  </w:num>
  <w:num w:numId="20" w16cid:durableId="1764372863">
    <w:abstractNumId w:val="20"/>
  </w:num>
  <w:num w:numId="21" w16cid:durableId="1502743241">
    <w:abstractNumId w:val="6"/>
  </w:num>
  <w:num w:numId="22" w16cid:durableId="1327708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93"/>
    <w:rsid w:val="0000294D"/>
    <w:rsid w:val="00013679"/>
    <w:rsid w:val="00027466"/>
    <w:rsid w:val="00027A15"/>
    <w:rsid w:val="00030A84"/>
    <w:rsid w:val="00036B58"/>
    <w:rsid w:val="00036C7F"/>
    <w:rsid w:val="00050380"/>
    <w:rsid w:val="00067CE6"/>
    <w:rsid w:val="0009038D"/>
    <w:rsid w:val="00093D27"/>
    <w:rsid w:val="000A38CD"/>
    <w:rsid w:val="000A6EDE"/>
    <w:rsid w:val="000B3A3D"/>
    <w:rsid w:val="000B68CA"/>
    <w:rsid w:val="000C0D15"/>
    <w:rsid w:val="000D29D1"/>
    <w:rsid w:val="001048ED"/>
    <w:rsid w:val="00120010"/>
    <w:rsid w:val="00123378"/>
    <w:rsid w:val="00125D21"/>
    <w:rsid w:val="001301AC"/>
    <w:rsid w:val="001409D2"/>
    <w:rsid w:val="001464FE"/>
    <w:rsid w:val="00152ABD"/>
    <w:rsid w:val="00153684"/>
    <w:rsid w:val="00165F08"/>
    <w:rsid w:val="00166BAE"/>
    <w:rsid w:val="00167E2C"/>
    <w:rsid w:val="00177E93"/>
    <w:rsid w:val="00194622"/>
    <w:rsid w:val="00197D35"/>
    <w:rsid w:val="001A025E"/>
    <w:rsid w:val="001A1A19"/>
    <w:rsid w:val="001A3BE5"/>
    <w:rsid w:val="001B2F81"/>
    <w:rsid w:val="001D496B"/>
    <w:rsid w:val="001D5D13"/>
    <w:rsid w:val="002065DB"/>
    <w:rsid w:val="002224A6"/>
    <w:rsid w:val="00225198"/>
    <w:rsid w:val="002306D8"/>
    <w:rsid w:val="00270109"/>
    <w:rsid w:val="002813B3"/>
    <w:rsid w:val="002945EF"/>
    <w:rsid w:val="002A1BBE"/>
    <w:rsid w:val="002A1DB4"/>
    <w:rsid w:val="002A3B1F"/>
    <w:rsid w:val="002B0323"/>
    <w:rsid w:val="002B0BA1"/>
    <w:rsid w:val="002C143F"/>
    <w:rsid w:val="002C1F71"/>
    <w:rsid w:val="002C3B23"/>
    <w:rsid w:val="002C4598"/>
    <w:rsid w:val="002D0A01"/>
    <w:rsid w:val="002E33AD"/>
    <w:rsid w:val="002E7C82"/>
    <w:rsid w:val="002F141F"/>
    <w:rsid w:val="002F591A"/>
    <w:rsid w:val="00301AF5"/>
    <w:rsid w:val="00302E8A"/>
    <w:rsid w:val="00310B5B"/>
    <w:rsid w:val="003130AA"/>
    <w:rsid w:val="00313701"/>
    <w:rsid w:val="00314D13"/>
    <w:rsid w:val="00323A58"/>
    <w:rsid w:val="00325D81"/>
    <w:rsid w:val="00334275"/>
    <w:rsid w:val="003410EE"/>
    <w:rsid w:val="00352AB7"/>
    <w:rsid w:val="00355F3A"/>
    <w:rsid w:val="00376D79"/>
    <w:rsid w:val="003815D3"/>
    <w:rsid w:val="00383549"/>
    <w:rsid w:val="00390A84"/>
    <w:rsid w:val="00395365"/>
    <w:rsid w:val="003A4693"/>
    <w:rsid w:val="003A51AC"/>
    <w:rsid w:val="003A64F9"/>
    <w:rsid w:val="003B1517"/>
    <w:rsid w:val="003B5EBF"/>
    <w:rsid w:val="003C2AA5"/>
    <w:rsid w:val="003D0D4D"/>
    <w:rsid w:val="003D27C9"/>
    <w:rsid w:val="003D4750"/>
    <w:rsid w:val="003D4CC8"/>
    <w:rsid w:val="003D7F00"/>
    <w:rsid w:val="003E0D0D"/>
    <w:rsid w:val="003E218B"/>
    <w:rsid w:val="003E7D7F"/>
    <w:rsid w:val="003F1CD5"/>
    <w:rsid w:val="003F4ADF"/>
    <w:rsid w:val="003F6305"/>
    <w:rsid w:val="00402589"/>
    <w:rsid w:val="00405601"/>
    <w:rsid w:val="00413CB4"/>
    <w:rsid w:val="00437439"/>
    <w:rsid w:val="00440672"/>
    <w:rsid w:val="0046122F"/>
    <w:rsid w:val="0047264F"/>
    <w:rsid w:val="0047397D"/>
    <w:rsid w:val="0048046B"/>
    <w:rsid w:val="00494015"/>
    <w:rsid w:val="00496E77"/>
    <w:rsid w:val="004A08D1"/>
    <w:rsid w:val="004B3D34"/>
    <w:rsid w:val="004B49F8"/>
    <w:rsid w:val="004D0A22"/>
    <w:rsid w:val="004D3C3C"/>
    <w:rsid w:val="004E5C1F"/>
    <w:rsid w:val="004F0114"/>
    <w:rsid w:val="004F1C93"/>
    <w:rsid w:val="004F43A4"/>
    <w:rsid w:val="00511633"/>
    <w:rsid w:val="00522AA9"/>
    <w:rsid w:val="00524A2C"/>
    <w:rsid w:val="0054515B"/>
    <w:rsid w:val="00546403"/>
    <w:rsid w:val="00546FF0"/>
    <w:rsid w:val="00563D05"/>
    <w:rsid w:val="00570032"/>
    <w:rsid w:val="005731AE"/>
    <w:rsid w:val="005A5C74"/>
    <w:rsid w:val="005C459D"/>
    <w:rsid w:val="005C6A00"/>
    <w:rsid w:val="005D01C1"/>
    <w:rsid w:val="005F1AFB"/>
    <w:rsid w:val="00604095"/>
    <w:rsid w:val="0061404D"/>
    <w:rsid w:val="006323EA"/>
    <w:rsid w:val="00641357"/>
    <w:rsid w:val="00642B13"/>
    <w:rsid w:val="00645067"/>
    <w:rsid w:val="00645CCA"/>
    <w:rsid w:val="00661D25"/>
    <w:rsid w:val="0066736A"/>
    <w:rsid w:val="006748C0"/>
    <w:rsid w:val="0068117B"/>
    <w:rsid w:val="0068270B"/>
    <w:rsid w:val="00692B22"/>
    <w:rsid w:val="00693070"/>
    <w:rsid w:val="00695340"/>
    <w:rsid w:val="006954E3"/>
    <w:rsid w:val="00697301"/>
    <w:rsid w:val="006A3771"/>
    <w:rsid w:val="006C4D1D"/>
    <w:rsid w:val="006C721D"/>
    <w:rsid w:val="00706882"/>
    <w:rsid w:val="00723F4D"/>
    <w:rsid w:val="00727D28"/>
    <w:rsid w:val="00735197"/>
    <w:rsid w:val="00756015"/>
    <w:rsid w:val="0076014A"/>
    <w:rsid w:val="00761A29"/>
    <w:rsid w:val="00766CD5"/>
    <w:rsid w:val="00772108"/>
    <w:rsid w:val="00780816"/>
    <w:rsid w:val="007811DE"/>
    <w:rsid w:val="00783B32"/>
    <w:rsid w:val="00783C1C"/>
    <w:rsid w:val="007B1AD9"/>
    <w:rsid w:val="007B58DE"/>
    <w:rsid w:val="007B71F8"/>
    <w:rsid w:val="007C0A33"/>
    <w:rsid w:val="007C1266"/>
    <w:rsid w:val="007D7924"/>
    <w:rsid w:val="007D7DAF"/>
    <w:rsid w:val="007E3AF8"/>
    <w:rsid w:val="007E4009"/>
    <w:rsid w:val="007E6E4B"/>
    <w:rsid w:val="007F4132"/>
    <w:rsid w:val="007F6D41"/>
    <w:rsid w:val="00800A14"/>
    <w:rsid w:val="00807142"/>
    <w:rsid w:val="00813FB2"/>
    <w:rsid w:val="008164E1"/>
    <w:rsid w:val="00823F92"/>
    <w:rsid w:val="00830F5C"/>
    <w:rsid w:val="00843311"/>
    <w:rsid w:val="00844E06"/>
    <w:rsid w:val="008665D1"/>
    <w:rsid w:val="00874346"/>
    <w:rsid w:val="00880248"/>
    <w:rsid w:val="008828B1"/>
    <w:rsid w:val="008912B2"/>
    <w:rsid w:val="00891879"/>
    <w:rsid w:val="008A0055"/>
    <w:rsid w:val="008A165A"/>
    <w:rsid w:val="008A7C73"/>
    <w:rsid w:val="008B232A"/>
    <w:rsid w:val="008B7175"/>
    <w:rsid w:val="008C18C5"/>
    <w:rsid w:val="008E0CCB"/>
    <w:rsid w:val="008F192C"/>
    <w:rsid w:val="00904EE5"/>
    <w:rsid w:val="00910D2D"/>
    <w:rsid w:val="009116C8"/>
    <w:rsid w:val="0091342C"/>
    <w:rsid w:val="00916CF0"/>
    <w:rsid w:val="00920273"/>
    <w:rsid w:val="00925077"/>
    <w:rsid w:val="0093112D"/>
    <w:rsid w:val="0093593E"/>
    <w:rsid w:val="00943451"/>
    <w:rsid w:val="00953A00"/>
    <w:rsid w:val="0095651E"/>
    <w:rsid w:val="009566A0"/>
    <w:rsid w:val="00974CC0"/>
    <w:rsid w:val="009837D4"/>
    <w:rsid w:val="00985735"/>
    <w:rsid w:val="0099170A"/>
    <w:rsid w:val="009A3004"/>
    <w:rsid w:val="009A79C5"/>
    <w:rsid w:val="009B086D"/>
    <w:rsid w:val="009B3E56"/>
    <w:rsid w:val="009E6B78"/>
    <w:rsid w:val="009E79EE"/>
    <w:rsid w:val="009F5A8F"/>
    <w:rsid w:val="00A07257"/>
    <w:rsid w:val="00A1380D"/>
    <w:rsid w:val="00A266F0"/>
    <w:rsid w:val="00A30468"/>
    <w:rsid w:val="00A3754B"/>
    <w:rsid w:val="00A4246E"/>
    <w:rsid w:val="00A51A7F"/>
    <w:rsid w:val="00A81E2D"/>
    <w:rsid w:val="00A956AE"/>
    <w:rsid w:val="00AA3007"/>
    <w:rsid w:val="00AB0A7B"/>
    <w:rsid w:val="00AB0CD3"/>
    <w:rsid w:val="00AB6639"/>
    <w:rsid w:val="00AC0135"/>
    <w:rsid w:val="00AC6053"/>
    <w:rsid w:val="00AC6480"/>
    <w:rsid w:val="00AD27C2"/>
    <w:rsid w:val="00AF5576"/>
    <w:rsid w:val="00B0033B"/>
    <w:rsid w:val="00B14F70"/>
    <w:rsid w:val="00B201C1"/>
    <w:rsid w:val="00B3302E"/>
    <w:rsid w:val="00B41FB2"/>
    <w:rsid w:val="00B42471"/>
    <w:rsid w:val="00B45A10"/>
    <w:rsid w:val="00B529DD"/>
    <w:rsid w:val="00B60319"/>
    <w:rsid w:val="00B71C2A"/>
    <w:rsid w:val="00B71F73"/>
    <w:rsid w:val="00B7365A"/>
    <w:rsid w:val="00B8611E"/>
    <w:rsid w:val="00B9266D"/>
    <w:rsid w:val="00B93B01"/>
    <w:rsid w:val="00B965C1"/>
    <w:rsid w:val="00BA1170"/>
    <w:rsid w:val="00BA2870"/>
    <w:rsid w:val="00BB2995"/>
    <w:rsid w:val="00BB42E1"/>
    <w:rsid w:val="00BC6440"/>
    <w:rsid w:val="00BC73D9"/>
    <w:rsid w:val="00BE1FCD"/>
    <w:rsid w:val="00BF2C44"/>
    <w:rsid w:val="00BF3E84"/>
    <w:rsid w:val="00C11FDA"/>
    <w:rsid w:val="00C13DFD"/>
    <w:rsid w:val="00C15940"/>
    <w:rsid w:val="00C17338"/>
    <w:rsid w:val="00C173E8"/>
    <w:rsid w:val="00C2483D"/>
    <w:rsid w:val="00C3312F"/>
    <w:rsid w:val="00C4107F"/>
    <w:rsid w:val="00C47E59"/>
    <w:rsid w:val="00C50E3F"/>
    <w:rsid w:val="00C61FDF"/>
    <w:rsid w:val="00CB2225"/>
    <w:rsid w:val="00CC364B"/>
    <w:rsid w:val="00CC49A0"/>
    <w:rsid w:val="00CC5675"/>
    <w:rsid w:val="00CC768B"/>
    <w:rsid w:val="00CE4E21"/>
    <w:rsid w:val="00CE5D30"/>
    <w:rsid w:val="00CF0677"/>
    <w:rsid w:val="00CF7913"/>
    <w:rsid w:val="00D005CA"/>
    <w:rsid w:val="00D00A08"/>
    <w:rsid w:val="00D03451"/>
    <w:rsid w:val="00D1197C"/>
    <w:rsid w:val="00D23E95"/>
    <w:rsid w:val="00D3797E"/>
    <w:rsid w:val="00D44352"/>
    <w:rsid w:val="00D55D14"/>
    <w:rsid w:val="00D62A19"/>
    <w:rsid w:val="00D705AA"/>
    <w:rsid w:val="00D80175"/>
    <w:rsid w:val="00D96C69"/>
    <w:rsid w:val="00D975DB"/>
    <w:rsid w:val="00DA575C"/>
    <w:rsid w:val="00DB1BDE"/>
    <w:rsid w:val="00DC0A18"/>
    <w:rsid w:val="00DC1468"/>
    <w:rsid w:val="00DE2D2D"/>
    <w:rsid w:val="00E00062"/>
    <w:rsid w:val="00E05181"/>
    <w:rsid w:val="00E12971"/>
    <w:rsid w:val="00E14F6C"/>
    <w:rsid w:val="00E15B93"/>
    <w:rsid w:val="00E17C3B"/>
    <w:rsid w:val="00E23AF5"/>
    <w:rsid w:val="00E243C7"/>
    <w:rsid w:val="00E34ADF"/>
    <w:rsid w:val="00E56FBA"/>
    <w:rsid w:val="00E60DE4"/>
    <w:rsid w:val="00E63CFC"/>
    <w:rsid w:val="00E74A0E"/>
    <w:rsid w:val="00E815FA"/>
    <w:rsid w:val="00E81655"/>
    <w:rsid w:val="00E9014A"/>
    <w:rsid w:val="00EA019D"/>
    <w:rsid w:val="00EB25C7"/>
    <w:rsid w:val="00EC03B8"/>
    <w:rsid w:val="00EC3172"/>
    <w:rsid w:val="00ED4C49"/>
    <w:rsid w:val="00EE56BB"/>
    <w:rsid w:val="00EF4191"/>
    <w:rsid w:val="00EF52E7"/>
    <w:rsid w:val="00F02BC0"/>
    <w:rsid w:val="00F05FEB"/>
    <w:rsid w:val="00F07228"/>
    <w:rsid w:val="00F10E15"/>
    <w:rsid w:val="00F14056"/>
    <w:rsid w:val="00F20A42"/>
    <w:rsid w:val="00F342D2"/>
    <w:rsid w:val="00F37925"/>
    <w:rsid w:val="00F43D38"/>
    <w:rsid w:val="00F4624A"/>
    <w:rsid w:val="00F46BF3"/>
    <w:rsid w:val="00F56742"/>
    <w:rsid w:val="00F66771"/>
    <w:rsid w:val="00F82776"/>
    <w:rsid w:val="00F83DF3"/>
    <w:rsid w:val="00F93345"/>
    <w:rsid w:val="00F93A81"/>
    <w:rsid w:val="00FA5B71"/>
    <w:rsid w:val="00FB35E6"/>
    <w:rsid w:val="00FB3A17"/>
    <w:rsid w:val="00FC12B5"/>
    <w:rsid w:val="00FC1A93"/>
    <w:rsid w:val="00FD40BC"/>
    <w:rsid w:val="00FD4B7F"/>
    <w:rsid w:val="00FD567E"/>
    <w:rsid w:val="00FE00CA"/>
    <w:rsid w:val="00FF1A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3DD6B"/>
  <w15:chartTrackingRefBased/>
  <w15:docId w15:val="{F468CE84-81FC-433F-A6D6-E6912F1D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A93"/>
    <w:pPr>
      <w:spacing w:after="0" w:line="240" w:lineRule="auto"/>
    </w:pPr>
    <w:rPr>
      <w:rFonts w:ascii="Calibri" w:eastAsia="Calibri" w:hAnsi="Calibri" w:cs="Times New Roman"/>
      <w:kern w:val="0"/>
      <w:sz w:val="24"/>
      <w:szCs w:val="24"/>
      <w14:ligatures w14:val="none"/>
    </w:rPr>
  </w:style>
  <w:style w:type="paragraph" w:styleId="1">
    <w:name w:val="heading 1"/>
    <w:basedOn w:val="a"/>
    <w:next w:val="a"/>
    <w:link w:val="1Char"/>
    <w:uiPriority w:val="9"/>
    <w:qFormat/>
    <w:rsid w:val="00FC1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C1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C1A9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C1A9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C1A9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C1A9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C1A9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C1A9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C1A9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C1A9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C1A9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C1A9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C1A9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C1A9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C1A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C1A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C1A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C1A93"/>
    <w:rPr>
      <w:rFonts w:eastAsiaTheme="majorEastAsia" w:cstheme="majorBidi"/>
      <w:color w:val="272727" w:themeColor="text1" w:themeTint="D8"/>
    </w:rPr>
  </w:style>
  <w:style w:type="paragraph" w:styleId="a3">
    <w:name w:val="Title"/>
    <w:basedOn w:val="a"/>
    <w:next w:val="a"/>
    <w:link w:val="Char"/>
    <w:uiPriority w:val="10"/>
    <w:qFormat/>
    <w:rsid w:val="00FC1A9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C1A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1A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C1A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1A93"/>
    <w:pPr>
      <w:spacing w:before="160"/>
      <w:jc w:val="center"/>
    </w:pPr>
    <w:rPr>
      <w:i/>
      <w:iCs/>
      <w:color w:val="404040" w:themeColor="text1" w:themeTint="BF"/>
    </w:rPr>
  </w:style>
  <w:style w:type="character" w:customStyle="1" w:styleId="Char1">
    <w:name w:val="Απόσπασμα Char"/>
    <w:basedOn w:val="a0"/>
    <w:link w:val="a5"/>
    <w:uiPriority w:val="29"/>
    <w:rsid w:val="00FC1A93"/>
    <w:rPr>
      <w:i/>
      <w:iCs/>
      <w:color w:val="404040" w:themeColor="text1" w:themeTint="BF"/>
    </w:rPr>
  </w:style>
  <w:style w:type="paragraph" w:styleId="a6">
    <w:name w:val="List Paragraph"/>
    <w:basedOn w:val="a"/>
    <w:uiPriority w:val="34"/>
    <w:qFormat/>
    <w:rsid w:val="00FC1A93"/>
    <w:pPr>
      <w:ind w:left="720"/>
      <w:contextualSpacing/>
    </w:pPr>
  </w:style>
  <w:style w:type="character" w:styleId="a7">
    <w:name w:val="Intense Emphasis"/>
    <w:basedOn w:val="a0"/>
    <w:uiPriority w:val="21"/>
    <w:qFormat/>
    <w:rsid w:val="00FC1A93"/>
    <w:rPr>
      <w:i/>
      <w:iCs/>
      <w:color w:val="0F4761" w:themeColor="accent1" w:themeShade="BF"/>
    </w:rPr>
  </w:style>
  <w:style w:type="paragraph" w:styleId="a8">
    <w:name w:val="Intense Quote"/>
    <w:basedOn w:val="a"/>
    <w:next w:val="a"/>
    <w:link w:val="Char2"/>
    <w:uiPriority w:val="30"/>
    <w:qFormat/>
    <w:rsid w:val="00FC1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C1A93"/>
    <w:rPr>
      <w:i/>
      <w:iCs/>
      <w:color w:val="0F4761" w:themeColor="accent1" w:themeShade="BF"/>
    </w:rPr>
  </w:style>
  <w:style w:type="character" w:styleId="a9">
    <w:name w:val="Intense Reference"/>
    <w:basedOn w:val="a0"/>
    <w:uiPriority w:val="32"/>
    <w:qFormat/>
    <w:rsid w:val="00FC1A93"/>
    <w:rPr>
      <w:b/>
      <w:bCs/>
      <w:smallCaps/>
      <w:color w:val="0F4761" w:themeColor="accent1" w:themeShade="BF"/>
      <w:spacing w:val="5"/>
    </w:rPr>
  </w:style>
  <w:style w:type="paragraph" w:styleId="aa">
    <w:name w:val="footer"/>
    <w:basedOn w:val="a"/>
    <w:link w:val="Char3"/>
    <w:uiPriority w:val="99"/>
    <w:unhideWhenUsed/>
    <w:rsid w:val="00FC1A93"/>
    <w:pPr>
      <w:tabs>
        <w:tab w:val="center" w:pos="4153"/>
        <w:tab w:val="right" w:pos="8306"/>
      </w:tabs>
    </w:pPr>
  </w:style>
  <w:style w:type="character" w:customStyle="1" w:styleId="Char3">
    <w:name w:val="Υποσέλιδο Char"/>
    <w:basedOn w:val="a0"/>
    <w:link w:val="aa"/>
    <w:uiPriority w:val="99"/>
    <w:rsid w:val="00FC1A93"/>
    <w:rPr>
      <w:rFonts w:ascii="Calibri" w:eastAsia="Calibri" w:hAnsi="Calibri" w:cs="Times New Roman"/>
      <w:kern w:val="0"/>
      <w:sz w:val="24"/>
      <w:szCs w:val="24"/>
      <w14:ligatures w14:val="none"/>
    </w:rPr>
  </w:style>
  <w:style w:type="paragraph" w:styleId="Web">
    <w:name w:val="Normal (Web)"/>
    <w:basedOn w:val="a"/>
    <w:uiPriority w:val="99"/>
    <w:unhideWhenUsed/>
    <w:rsid w:val="00AB6639"/>
    <w:pPr>
      <w:spacing w:before="100" w:beforeAutospacing="1" w:after="100" w:afterAutospacing="1"/>
    </w:pPr>
    <w:rPr>
      <w:rFonts w:ascii="Times New Roman" w:eastAsia="Times New Roman" w:hAnsi="Times New Roman"/>
      <w:lang w:eastAsia="el-GR"/>
    </w:rPr>
  </w:style>
  <w:style w:type="character" w:styleId="ab">
    <w:name w:val="Strong"/>
    <w:basedOn w:val="a0"/>
    <w:uiPriority w:val="22"/>
    <w:qFormat/>
    <w:rsid w:val="00D44352"/>
    <w:rPr>
      <w:b/>
      <w:bCs/>
    </w:rPr>
  </w:style>
  <w:style w:type="character" w:styleId="-">
    <w:name w:val="Hyperlink"/>
    <w:basedOn w:val="a0"/>
    <w:uiPriority w:val="99"/>
    <w:unhideWhenUsed/>
    <w:rsid w:val="008828B1"/>
    <w:rPr>
      <w:color w:val="0000FF"/>
      <w:u w:val="single"/>
    </w:rPr>
  </w:style>
  <w:style w:type="paragraph" w:styleId="ac">
    <w:name w:val="Revision"/>
    <w:hidden/>
    <w:uiPriority w:val="99"/>
    <w:semiHidden/>
    <w:rsid w:val="00313701"/>
    <w:pPr>
      <w:spacing w:after="0" w:line="240" w:lineRule="auto"/>
    </w:pPr>
    <w:rPr>
      <w:rFonts w:ascii="Calibri" w:eastAsia="Calibri" w:hAnsi="Calibri" w:cs="Times New Roman"/>
      <w:kern w:val="0"/>
      <w:sz w:val="24"/>
      <w:szCs w:val="24"/>
      <w14:ligatures w14:val="none"/>
    </w:rPr>
  </w:style>
  <w:style w:type="character" w:styleId="ad">
    <w:name w:val="Unresolved Mention"/>
    <w:basedOn w:val="a0"/>
    <w:uiPriority w:val="99"/>
    <w:semiHidden/>
    <w:unhideWhenUsed/>
    <w:rsid w:val="002F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8470">
      <w:bodyDiv w:val="1"/>
      <w:marLeft w:val="0"/>
      <w:marRight w:val="0"/>
      <w:marTop w:val="0"/>
      <w:marBottom w:val="0"/>
      <w:divBdr>
        <w:top w:val="none" w:sz="0" w:space="0" w:color="auto"/>
        <w:left w:val="none" w:sz="0" w:space="0" w:color="auto"/>
        <w:bottom w:val="none" w:sz="0" w:space="0" w:color="auto"/>
        <w:right w:val="none" w:sz="0" w:space="0" w:color="auto"/>
      </w:divBdr>
    </w:div>
    <w:div w:id="478772517">
      <w:bodyDiv w:val="1"/>
      <w:marLeft w:val="0"/>
      <w:marRight w:val="0"/>
      <w:marTop w:val="0"/>
      <w:marBottom w:val="0"/>
      <w:divBdr>
        <w:top w:val="none" w:sz="0" w:space="0" w:color="auto"/>
        <w:left w:val="none" w:sz="0" w:space="0" w:color="auto"/>
        <w:bottom w:val="none" w:sz="0" w:space="0" w:color="auto"/>
        <w:right w:val="none" w:sz="0" w:space="0" w:color="auto"/>
      </w:divBdr>
    </w:div>
    <w:div w:id="906840758">
      <w:bodyDiv w:val="1"/>
      <w:marLeft w:val="0"/>
      <w:marRight w:val="0"/>
      <w:marTop w:val="0"/>
      <w:marBottom w:val="0"/>
      <w:divBdr>
        <w:top w:val="none" w:sz="0" w:space="0" w:color="auto"/>
        <w:left w:val="none" w:sz="0" w:space="0" w:color="auto"/>
        <w:bottom w:val="none" w:sz="0" w:space="0" w:color="auto"/>
        <w:right w:val="none" w:sz="0" w:space="0" w:color="auto"/>
      </w:divBdr>
      <w:divsChild>
        <w:div w:id="489057326">
          <w:marLeft w:val="0"/>
          <w:marRight w:val="0"/>
          <w:marTop w:val="0"/>
          <w:marBottom w:val="0"/>
          <w:divBdr>
            <w:top w:val="none" w:sz="0" w:space="0" w:color="auto"/>
            <w:left w:val="none" w:sz="0" w:space="0" w:color="auto"/>
            <w:bottom w:val="none" w:sz="0" w:space="0" w:color="auto"/>
            <w:right w:val="none" w:sz="0" w:space="0" w:color="auto"/>
          </w:divBdr>
          <w:divsChild>
            <w:div w:id="1174033498">
              <w:marLeft w:val="0"/>
              <w:marRight w:val="0"/>
              <w:marTop w:val="0"/>
              <w:marBottom w:val="0"/>
              <w:divBdr>
                <w:top w:val="none" w:sz="0" w:space="0" w:color="auto"/>
                <w:left w:val="none" w:sz="0" w:space="0" w:color="auto"/>
                <w:bottom w:val="none" w:sz="0" w:space="0" w:color="auto"/>
                <w:right w:val="none" w:sz="0" w:space="0" w:color="auto"/>
              </w:divBdr>
              <w:divsChild>
                <w:div w:id="2112160179">
                  <w:marLeft w:val="0"/>
                  <w:marRight w:val="0"/>
                  <w:marTop w:val="0"/>
                  <w:marBottom w:val="0"/>
                  <w:divBdr>
                    <w:top w:val="none" w:sz="0" w:space="0" w:color="auto"/>
                    <w:left w:val="none" w:sz="0" w:space="0" w:color="auto"/>
                    <w:bottom w:val="none" w:sz="0" w:space="0" w:color="auto"/>
                    <w:right w:val="none" w:sz="0" w:space="0" w:color="auto"/>
                  </w:divBdr>
                  <w:divsChild>
                    <w:div w:id="610630461">
                      <w:marLeft w:val="0"/>
                      <w:marRight w:val="0"/>
                      <w:marTop w:val="0"/>
                      <w:marBottom w:val="0"/>
                      <w:divBdr>
                        <w:top w:val="none" w:sz="0" w:space="0" w:color="auto"/>
                        <w:left w:val="none" w:sz="0" w:space="0" w:color="auto"/>
                        <w:bottom w:val="none" w:sz="0" w:space="0" w:color="auto"/>
                        <w:right w:val="none" w:sz="0" w:space="0" w:color="auto"/>
                      </w:divBdr>
                      <w:divsChild>
                        <w:div w:id="458190660">
                          <w:marLeft w:val="0"/>
                          <w:marRight w:val="0"/>
                          <w:marTop w:val="0"/>
                          <w:marBottom w:val="0"/>
                          <w:divBdr>
                            <w:top w:val="none" w:sz="0" w:space="0" w:color="auto"/>
                            <w:left w:val="none" w:sz="0" w:space="0" w:color="auto"/>
                            <w:bottom w:val="none" w:sz="0" w:space="0" w:color="auto"/>
                            <w:right w:val="none" w:sz="0" w:space="0" w:color="auto"/>
                          </w:divBdr>
                          <w:divsChild>
                            <w:div w:id="547837508">
                              <w:marLeft w:val="0"/>
                              <w:marRight w:val="0"/>
                              <w:marTop w:val="0"/>
                              <w:marBottom w:val="0"/>
                              <w:divBdr>
                                <w:top w:val="none" w:sz="0" w:space="0" w:color="auto"/>
                                <w:left w:val="none" w:sz="0" w:space="0" w:color="auto"/>
                                <w:bottom w:val="none" w:sz="0" w:space="0" w:color="auto"/>
                                <w:right w:val="none" w:sz="0" w:space="0" w:color="auto"/>
                              </w:divBdr>
                              <w:divsChild>
                                <w:div w:id="21052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52684">
      <w:bodyDiv w:val="1"/>
      <w:marLeft w:val="0"/>
      <w:marRight w:val="0"/>
      <w:marTop w:val="0"/>
      <w:marBottom w:val="0"/>
      <w:divBdr>
        <w:top w:val="none" w:sz="0" w:space="0" w:color="auto"/>
        <w:left w:val="none" w:sz="0" w:space="0" w:color="auto"/>
        <w:bottom w:val="none" w:sz="0" w:space="0" w:color="auto"/>
        <w:right w:val="none" w:sz="0" w:space="0" w:color="auto"/>
      </w:divBdr>
    </w:div>
    <w:div w:id="1413115248">
      <w:bodyDiv w:val="1"/>
      <w:marLeft w:val="0"/>
      <w:marRight w:val="0"/>
      <w:marTop w:val="0"/>
      <w:marBottom w:val="0"/>
      <w:divBdr>
        <w:top w:val="none" w:sz="0" w:space="0" w:color="auto"/>
        <w:left w:val="none" w:sz="0" w:space="0" w:color="auto"/>
        <w:bottom w:val="none" w:sz="0" w:space="0" w:color="auto"/>
        <w:right w:val="none" w:sz="0" w:space="0" w:color="auto"/>
      </w:divBdr>
      <w:divsChild>
        <w:div w:id="702557526">
          <w:marLeft w:val="0"/>
          <w:marRight w:val="0"/>
          <w:marTop w:val="0"/>
          <w:marBottom w:val="0"/>
          <w:divBdr>
            <w:top w:val="none" w:sz="0" w:space="0" w:color="auto"/>
            <w:left w:val="none" w:sz="0" w:space="0" w:color="auto"/>
            <w:bottom w:val="none" w:sz="0" w:space="0" w:color="auto"/>
            <w:right w:val="none" w:sz="0" w:space="0" w:color="auto"/>
          </w:divBdr>
          <w:divsChild>
            <w:div w:id="159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3868">
      <w:bodyDiv w:val="1"/>
      <w:marLeft w:val="0"/>
      <w:marRight w:val="0"/>
      <w:marTop w:val="0"/>
      <w:marBottom w:val="0"/>
      <w:divBdr>
        <w:top w:val="none" w:sz="0" w:space="0" w:color="auto"/>
        <w:left w:val="none" w:sz="0" w:space="0" w:color="auto"/>
        <w:bottom w:val="none" w:sz="0" w:space="0" w:color="auto"/>
        <w:right w:val="none" w:sz="0" w:space="0" w:color="auto"/>
      </w:divBdr>
      <w:divsChild>
        <w:div w:id="874775665">
          <w:marLeft w:val="0"/>
          <w:marRight w:val="0"/>
          <w:marTop w:val="0"/>
          <w:marBottom w:val="0"/>
          <w:divBdr>
            <w:top w:val="none" w:sz="0" w:space="0" w:color="auto"/>
            <w:left w:val="none" w:sz="0" w:space="0" w:color="auto"/>
            <w:bottom w:val="none" w:sz="0" w:space="0" w:color="auto"/>
            <w:right w:val="none" w:sz="0" w:space="0" w:color="auto"/>
          </w:divBdr>
          <w:divsChild>
            <w:div w:id="1757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C70C-8A0B-42C5-8B65-9F23A3B9E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pap</dc:creator>
  <cp:keywords/>
  <dc:description/>
  <cp:lastModifiedBy>marinos pap</cp:lastModifiedBy>
  <cp:revision>7</cp:revision>
  <dcterms:created xsi:type="dcterms:W3CDTF">2026-05-25T05:46:00Z</dcterms:created>
  <dcterms:modified xsi:type="dcterms:W3CDTF">2026-05-25T23:19:00Z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f2c82da7e20fa4c8b4eb43ca038417d063e8e6c8cb6dbeabfd452cf6f488009f</vt:lpwstr>
  </property>
</Properties>
</file>