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F8C86" w14:textId="77777777" w:rsidR="001970BE" w:rsidRPr="002E0565" w:rsidRDefault="009A62BA" w:rsidP="000560E8">
      <w:pPr>
        <w:spacing w:line="240" w:lineRule="auto"/>
        <w:jc w:val="center"/>
        <w:rPr>
          <w:rFonts w:asciiTheme="majorHAnsi" w:hAnsiTheme="majorHAnsi" w:cstheme="majorHAnsi"/>
          <w:b/>
          <w:bCs/>
          <w:sz w:val="24"/>
          <w:szCs w:val="24"/>
        </w:rPr>
      </w:pPr>
      <w:r w:rsidRPr="002E0565">
        <w:rPr>
          <w:rFonts w:asciiTheme="majorHAnsi" w:eastAsia="Arial Narrow" w:hAnsiTheme="majorHAnsi" w:cstheme="majorHAnsi"/>
          <w:noProof/>
          <w:sz w:val="24"/>
          <w:szCs w:val="24"/>
        </w:rPr>
        <w:drawing>
          <wp:inline distT="0" distB="0" distL="0" distR="0" wp14:anchorId="42548379" wp14:editId="458842C0">
            <wp:extent cx="1265555" cy="1143000"/>
            <wp:effectExtent l="0" t="0" r="0" b="0"/>
            <wp:docPr id="2" name="image1.png" descr="Εικόνα που περιέχει γραμματοσειρά, κείμενο, λογότυπο, γραφικά&#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1.png" descr="Εικόνα που περιέχει γραμματοσειρά, κείμενο, λογότυπο, γραφικά&#10;&#10;Περιγραφή που δημιουργήθηκε αυτόματα"/>
                    <pic:cNvPicPr preferRelativeResize="0"/>
                  </pic:nvPicPr>
                  <pic:blipFill>
                    <a:blip r:embed="rId7"/>
                    <a:srcRect/>
                    <a:stretch>
                      <a:fillRect/>
                    </a:stretch>
                  </pic:blipFill>
                  <pic:spPr>
                    <a:xfrm>
                      <a:off x="0" y="0"/>
                      <a:ext cx="1266266" cy="1143642"/>
                    </a:xfrm>
                    <a:prstGeom prst="rect">
                      <a:avLst/>
                    </a:prstGeom>
                    <a:ln/>
                  </pic:spPr>
                </pic:pic>
              </a:graphicData>
            </a:graphic>
          </wp:inline>
        </w:drawing>
      </w:r>
    </w:p>
    <w:p w14:paraId="72EEB9CF" w14:textId="5D66C5D8" w:rsidR="001970BE" w:rsidRPr="002E0565" w:rsidRDefault="009A62BA" w:rsidP="009A62BA">
      <w:pPr>
        <w:spacing w:before="240" w:after="200" w:line="240" w:lineRule="auto"/>
        <w:jc w:val="center"/>
        <w:rPr>
          <w:rFonts w:asciiTheme="majorHAnsi" w:hAnsiTheme="majorHAnsi" w:cstheme="majorHAnsi"/>
          <w:b/>
          <w:bCs/>
          <w:sz w:val="24"/>
          <w:szCs w:val="24"/>
          <w:lang w:val="el-GR"/>
        </w:rPr>
      </w:pPr>
      <w:r w:rsidRPr="002E0565">
        <w:rPr>
          <w:rFonts w:asciiTheme="majorHAnsi" w:hAnsiTheme="majorHAnsi" w:cstheme="majorHAnsi"/>
          <w:b/>
          <w:bCs/>
          <w:sz w:val="24"/>
          <w:szCs w:val="24"/>
        </w:rPr>
        <w:t>ΤΡΟΠΟΛΟΓΙΑ</w:t>
      </w:r>
      <w:r w:rsidR="002E0565">
        <w:rPr>
          <w:rFonts w:asciiTheme="majorHAnsi" w:hAnsiTheme="majorHAnsi" w:cstheme="majorHAnsi"/>
          <w:b/>
          <w:bCs/>
          <w:sz w:val="24"/>
          <w:szCs w:val="24"/>
          <w:lang w:val="el-GR"/>
        </w:rPr>
        <w:t>- ΠΡΟΣΘΗΚΗ</w:t>
      </w:r>
    </w:p>
    <w:p w14:paraId="4B5B1ED4" w14:textId="77777777" w:rsidR="001970BE" w:rsidRPr="002E0565" w:rsidRDefault="009A62BA">
      <w:pPr>
        <w:spacing w:before="240" w:after="200"/>
        <w:jc w:val="both"/>
        <w:rPr>
          <w:rFonts w:asciiTheme="majorHAnsi" w:hAnsiTheme="majorHAnsi" w:cstheme="majorHAnsi"/>
          <w:b/>
          <w:bCs/>
          <w:sz w:val="24"/>
          <w:szCs w:val="24"/>
        </w:rPr>
      </w:pPr>
      <w:r w:rsidRPr="002E0565">
        <w:rPr>
          <w:rFonts w:asciiTheme="majorHAnsi" w:hAnsiTheme="majorHAnsi" w:cstheme="majorHAnsi"/>
          <w:b/>
          <w:bCs/>
          <w:sz w:val="24"/>
          <w:szCs w:val="24"/>
        </w:rPr>
        <w:t>Στο σχέδιο νόμου του Υπουργείου Παιδείας, Θρησκευμάτων και Αθλητισμού με τίτλο «Ίδρυση Ανώτατης Σχολής Παραστατικών Τεχνών, σύσταση νέας κατηγορίας θέσεων Καλλιτεχνικής Εκπαίδευσης, πλαίσιο λειτουργίας Ανώτερων Σχολών Καλλιτεχνικής Εκπαίδευσης και Ανώτερων Σχολών Μουσικής Εκπαίδευσης και άλλες ρυθμίσεις»</w:t>
      </w:r>
    </w:p>
    <w:p w14:paraId="01BA82C3" w14:textId="77777777" w:rsidR="001970BE" w:rsidRPr="002E0565" w:rsidRDefault="009A62BA">
      <w:pPr>
        <w:spacing w:before="240" w:after="200"/>
        <w:jc w:val="both"/>
        <w:rPr>
          <w:rFonts w:asciiTheme="majorHAnsi" w:hAnsiTheme="majorHAnsi" w:cstheme="majorHAnsi"/>
          <w:b/>
          <w:bCs/>
          <w:sz w:val="24"/>
          <w:szCs w:val="24"/>
        </w:rPr>
      </w:pPr>
      <w:r w:rsidRPr="002E0565">
        <w:rPr>
          <w:rFonts w:asciiTheme="majorHAnsi" w:hAnsiTheme="majorHAnsi" w:cstheme="majorHAnsi"/>
          <w:b/>
          <w:bCs/>
          <w:sz w:val="24"/>
          <w:szCs w:val="24"/>
        </w:rPr>
        <w:t>Θέμα: «Μισθολογική αναγνώριση προϋπηρεσίας αρχαιολόγων σε αρχαιολογικά έργα τρίτων»</w:t>
      </w:r>
    </w:p>
    <w:p w14:paraId="6B371AD9" w14:textId="77777777" w:rsidR="001970BE" w:rsidRPr="002E0565" w:rsidRDefault="009A62BA">
      <w:pPr>
        <w:shd w:val="clear" w:color="auto" w:fill="FFFFFF"/>
        <w:spacing w:before="240" w:after="240"/>
        <w:jc w:val="center"/>
        <w:rPr>
          <w:rFonts w:asciiTheme="majorHAnsi" w:hAnsiTheme="majorHAnsi" w:cstheme="majorHAnsi"/>
          <w:b/>
          <w:bCs/>
          <w:sz w:val="24"/>
          <w:szCs w:val="24"/>
        </w:rPr>
      </w:pPr>
      <w:r w:rsidRPr="002E0565">
        <w:rPr>
          <w:rFonts w:asciiTheme="majorHAnsi" w:hAnsiTheme="majorHAnsi" w:cstheme="majorHAnsi"/>
          <w:b/>
          <w:bCs/>
          <w:sz w:val="24"/>
          <w:szCs w:val="24"/>
        </w:rPr>
        <w:t>Α. ΑΙΤΙΟΛΟΓΙΚΗ ΕΚΘΕΣΗ</w:t>
      </w:r>
    </w:p>
    <w:p w14:paraId="3C0DF6E3" w14:textId="77777777" w:rsidR="001970BE" w:rsidRPr="002E0565" w:rsidRDefault="009A62BA">
      <w:pPr>
        <w:shd w:val="clear" w:color="auto" w:fill="FFFFFF"/>
        <w:spacing w:before="240" w:after="240"/>
        <w:jc w:val="both"/>
        <w:rPr>
          <w:rFonts w:asciiTheme="majorHAnsi" w:hAnsiTheme="majorHAnsi" w:cstheme="majorHAnsi"/>
          <w:sz w:val="24"/>
          <w:szCs w:val="24"/>
        </w:rPr>
      </w:pPr>
      <w:r w:rsidRPr="002E0565">
        <w:rPr>
          <w:rFonts w:asciiTheme="majorHAnsi" w:hAnsiTheme="majorHAnsi" w:cstheme="majorHAnsi"/>
          <w:sz w:val="24"/>
          <w:szCs w:val="24"/>
        </w:rPr>
        <w:t xml:space="preserve">Με τις διατάξεις της παρ. 4 του άρθρου 11 του ν. 4354/2015 (Α’ 176), όπως τροποποιήθηκε με την παρ.2 του άρθρου 35 του Ν.4484/2017 (ΦΕΚ Α 110/1.8.2017), την παράγραφο 4 του άρθρου 90 Ν.4485/2017 (ΦΕΚ Α 114/4.8.2017 και ισχύει, ρυθμίζονται οι όροι και οι προϋποθέσεις αναγνώρισης της προϋπηρεσίας, που έχει παρασχεθεί υπό το καθεστώς σχέσης είτε δημοσίου δικαίου είτε εξαρτημένης εργασίας ιδιωτικού δικαίου, αορίστου ή ορισμένου χρόνου, ως κριτηρίου το οποίο λαμβάνεται υπόψη για την μισθολογική εξέλιξη των υπαλλήλων που υπάγονται στο πεδίο εφαρμογής του νόμου, σύμφωνα με τα προβλεπόμενα στο άρθρο 7 αυτού. Με τις ρυθμίσεις αυτές, ο νομοθέτης έλαβε την αναγκαία πρόνοια αναγνώρισης ενός κεφαλαίου εμπειρίας, εμβάθυνσης στο αντικείμενο της εργασίας, αλλά και εξοικείωσης με τις διαδικασίες ή/και το ιδιαίτερο κανονιστικό πλαίσιο που διέπει τους όρους οργάνωσης και λειτουργίας των φορέων του δημοσίου τομέα, ως τεκμηρίου προστιθέμενης υπηρεσιακής αξίας των, υπαγόμενων στο πεδίο εφαρμογής της ρύθμισης, υπαλλήλων και, κατ’ επέκταση, ως παράγοντα που οφείλει να λαμβάνεται υπόψη, κατά την κατάστρωση των όρων μισθολογικής εξέλιξης και ωρίμασης του προσωπικού του δημοσίου τομέα. </w:t>
      </w:r>
    </w:p>
    <w:p w14:paraId="7EC53D33" w14:textId="77777777" w:rsidR="001970BE" w:rsidRPr="002E0565" w:rsidRDefault="009A62BA">
      <w:pPr>
        <w:shd w:val="clear" w:color="auto" w:fill="FFFFFF"/>
        <w:spacing w:before="240" w:after="240"/>
        <w:jc w:val="both"/>
        <w:rPr>
          <w:rFonts w:asciiTheme="majorHAnsi" w:hAnsiTheme="majorHAnsi" w:cstheme="majorHAnsi"/>
          <w:sz w:val="24"/>
          <w:szCs w:val="24"/>
        </w:rPr>
      </w:pPr>
      <w:r w:rsidRPr="002E0565">
        <w:rPr>
          <w:rFonts w:asciiTheme="majorHAnsi" w:hAnsiTheme="majorHAnsi" w:cstheme="majorHAnsi"/>
          <w:sz w:val="24"/>
          <w:szCs w:val="24"/>
        </w:rPr>
        <w:t xml:space="preserve">Στο πλαίσιο αυτό και σε περιπτώσεις όπου αναγνωρίστηκε νομοθετικά η ομοιότητα ή ενίοτε και η ταυτότητα των καθηκόντων και του αντικειμένου της εργασίας, σε πεδία απασχόλησης και συγκεκριμένους τομείς δραστηριότητας τόσο του ιδιωτικού όσο και του δημοσίου τομέα (όπως λ.χ. στον τομέα της Πρωτοβάθμιας και της Δευτεροβάθμιας Εκπαίδευσης, όπου, ανεξαρτήτως του καθεστώτος του εργοδότη, ως φορέα του ιδιωτικού ή του δημοσίου δικαίου, οι παρεχόμενες εκπαιδευτικές υπηρεσίες υπάγονται στο ίδιο ρυθμιστικό πλαίσιο και σε μεγάλο βαθμό, ταυτίζονται κατά περιεχόμενο, υπόκεινται δε, σε κάθε περίπτωση, στην άμεση εποπτεία των αρμοδίων Διευθύνσεων Εκπαίδευσης), ο νομοθέτης προέβη στην αναγνώριση της σχετικής προϋπηρεσίας, ακόμα και αν αυτή έχει παρασχεθεί στον ιδιωτικό τομέα. Για την ταυτότητα του νομικού λόγου και σε περιπτώσεις όπου οι </w:t>
      </w:r>
      <w:proofErr w:type="spellStart"/>
      <w:r w:rsidRPr="002E0565">
        <w:rPr>
          <w:rFonts w:asciiTheme="majorHAnsi" w:hAnsiTheme="majorHAnsi" w:cstheme="majorHAnsi"/>
          <w:sz w:val="24"/>
          <w:szCs w:val="24"/>
        </w:rPr>
        <w:t>παρασχεθείσες</w:t>
      </w:r>
      <w:proofErr w:type="spellEnd"/>
      <w:r w:rsidRPr="002E0565">
        <w:rPr>
          <w:rFonts w:asciiTheme="majorHAnsi" w:hAnsiTheme="majorHAnsi" w:cstheme="majorHAnsi"/>
          <w:sz w:val="24"/>
          <w:szCs w:val="24"/>
        </w:rPr>
        <w:t xml:space="preserve"> </w:t>
      </w:r>
      <w:r w:rsidRPr="002E0565">
        <w:rPr>
          <w:rFonts w:asciiTheme="majorHAnsi" w:hAnsiTheme="majorHAnsi" w:cstheme="majorHAnsi"/>
          <w:sz w:val="24"/>
          <w:szCs w:val="24"/>
        </w:rPr>
        <w:lastRenderedPageBreak/>
        <w:t xml:space="preserve">υπηρεσίες υπόκεινται στην άμεση εποπτεία και τον έλεγχο δημοσίων αρχών, </w:t>
      </w:r>
      <w:proofErr w:type="spellStart"/>
      <w:r w:rsidRPr="002E0565">
        <w:rPr>
          <w:rFonts w:asciiTheme="majorHAnsi" w:hAnsiTheme="majorHAnsi" w:cstheme="majorHAnsi"/>
          <w:sz w:val="24"/>
          <w:szCs w:val="24"/>
        </w:rPr>
        <w:t>διέπονται</w:t>
      </w:r>
      <w:proofErr w:type="spellEnd"/>
      <w:r w:rsidRPr="002E0565">
        <w:rPr>
          <w:rFonts w:asciiTheme="majorHAnsi" w:hAnsiTheme="majorHAnsi" w:cstheme="majorHAnsi"/>
          <w:sz w:val="24"/>
          <w:szCs w:val="24"/>
        </w:rPr>
        <w:t xml:space="preserve">, ως προς τους όρους και τις διαδικασίες παροχής τους, από ειδική νομοθεσία, το δε αντικείμενο αυτών δεν διαφοροποιείται ανάλογα με την υπαγωγή του άμεσου εργοδότη στον δημόσιο ή τον ιδιωτικό τομέα, παρίσταται πρόδηλος </w:t>
      </w:r>
      <w:proofErr w:type="spellStart"/>
      <w:r w:rsidRPr="002E0565">
        <w:rPr>
          <w:rFonts w:asciiTheme="majorHAnsi" w:hAnsiTheme="majorHAnsi" w:cstheme="majorHAnsi"/>
          <w:sz w:val="24"/>
          <w:szCs w:val="24"/>
        </w:rPr>
        <w:t>δικαιοπολιτικός</w:t>
      </w:r>
      <w:proofErr w:type="spellEnd"/>
      <w:r w:rsidRPr="002E0565">
        <w:rPr>
          <w:rFonts w:asciiTheme="majorHAnsi" w:hAnsiTheme="majorHAnsi" w:cstheme="majorHAnsi"/>
          <w:sz w:val="24"/>
          <w:szCs w:val="24"/>
        </w:rPr>
        <w:t xml:space="preserve"> λόγος για την νομοθετική αναγνώριση της αντίστοιχης προϋπηρεσίας ως παράγοντα ο οποίος λαμβάνεται υπόψη για την μισθολογική εξέλιξη των οικείων υπαλλήλων. </w:t>
      </w:r>
    </w:p>
    <w:p w14:paraId="6FC9CC74" w14:textId="77777777" w:rsidR="001970BE" w:rsidRPr="002E0565" w:rsidRDefault="009A62BA">
      <w:pPr>
        <w:shd w:val="clear" w:color="auto" w:fill="FFFFFF"/>
        <w:spacing w:before="240" w:after="240"/>
        <w:jc w:val="both"/>
        <w:rPr>
          <w:rFonts w:asciiTheme="majorHAnsi" w:hAnsiTheme="majorHAnsi" w:cstheme="majorHAnsi"/>
          <w:sz w:val="24"/>
          <w:szCs w:val="24"/>
        </w:rPr>
      </w:pPr>
      <w:r w:rsidRPr="002E0565">
        <w:rPr>
          <w:rFonts w:asciiTheme="majorHAnsi" w:hAnsiTheme="majorHAnsi" w:cstheme="majorHAnsi"/>
          <w:sz w:val="24"/>
          <w:szCs w:val="24"/>
        </w:rPr>
        <w:t xml:space="preserve">Ειδικότερα ως προς την παροχή υπηρεσιών αρχαιολογικής έρευνας πεδίου και το έργο επί μνημείων, υπό τις διάφορες εκδοχές αυτής, όπως ειδικότερα προσδιορίζονται στην αρχαιολογική νομοθεσία και ιδιαίτερα στις διατάξεις των άρθρων 35 έως 38 του ν. 4858/2022 (Α’ 220, «Κύρωση Κώδικα νομοθεσίας για την προστασία των αρχαιοτήτων και εν γένει της πολιτιστικής κληρονομιάς»), αυτά διεξάγονται πάντοτε υπό τον άμεσο έλεγχο και την εποπτεία των αρμοδίων Εφορειών Αρχαιοτήτων ή/και της Κεντρικής Υπηρεσίας του Υπουργείου Πολιτισμού, ενώ οι όροι και οι διαδικασίες διεξαγωγής της, ρυθμίζονται κατά τρόπο εξαντλητικό από τις οικείες διατάξεις της αρχαιολογικής νομοθεσίας και τις αντίστοιχες κανονιστικές πράξεις της Διοίκησης. </w:t>
      </w:r>
    </w:p>
    <w:p w14:paraId="2BB572F5" w14:textId="77777777" w:rsidR="001970BE" w:rsidRPr="002E0565" w:rsidRDefault="009A62BA">
      <w:pPr>
        <w:shd w:val="clear" w:color="auto" w:fill="FFFFFF"/>
        <w:spacing w:before="240" w:after="240"/>
        <w:jc w:val="both"/>
        <w:rPr>
          <w:rFonts w:asciiTheme="majorHAnsi" w:hAnsiTheme="majorHAnsi" w:cstheme="majorHAnsi"/>
          <w:sz w:val="24"/>
          <w:szCs w:val="24"/>
        </w:rPr>
      </w:pPr>
      <w:r w:rsidRPr="002E0565">
        <w:rPr>
          <w:rFonts w:asciiTheme="majorHAnsi" w:hAnsiTheme="majorHAnsi" w:cstheme="majorHAnsi"/>
          <w:sz w:val="24"/>
          <w:szCs w:val="24"/>
        </w:rPr>
        <w:t xml:space="preserve">Στο πλαίσιο αυτό, ακόμα και αν η παροχή των αντίστοιχων υπηρεσιών, λαμβάνει χώρα δυνάμει συμβάσεων ή σχέσεων εξαρτημένης εργασίας ορισμένου ή αορίστου χρόνου ή ακόμα και δυνάμει συμβάσεων μίσθωσης έργου, με άμεσους εργοδότες νομικά ή φυσικά πρόσωπα ιδιωτικού δικαίου (όπως λ.χ. κατ’ εξοχήν συμβαίνει στις σωστικές ανασκαφές για την διάσωση μνημείων που αποκαλύπτονται στο πλαίσιο τεχνικών έργων, δημόσιων ή ιδιωτικών), ο τρόπος εκτέλεσης των εργασιών αρχαιολογικής έρευνας, αλλά και ο κατά τόπο και χρόνο ειδικότερος προσδιορισμός τους, δεν εναπόκεινται στο διευθυντικό δικαίωμα του ιδιώτη εργοδότη, αλλά καθορίζονται ευθέως από την αρμόδια αρχαιολογική υπηρεσία, η οποία είναι και η άμεση επιβλέπουσα τις σχετικές εργασίες. </w:t>
      </w:r>
    </w:p>
    <w:p w14:paraId="6B07DB5F" w14:textId="77777777" w:rsidR="001970BE" w:rsidRPr="002E0565" w:rsidRDefault="009A62BA">
      <w:pPr>
        <w:shd w:val="clear" w:color="auto" w:fill="FFFFFF"/>
        <w:spacing w:before="240" w:after="240"/>
        <w:jc w:val="both"/>
        <w:rPr>
          <w:rFonts w:asciiTheme="majorHAnsi" w:hAnsiTheme="majorHAnsi" w:cstheme="majorHAnsi"/>
          <w:sz w:val="24"/>
          <w:szCs w:val="24"/>
        </w:rPr>
      </w:pPr>
      <w:r w:rsidRPr="002E0565">
        <w:rPr>
          <w:rFonts w:asciiTheme="majorHAnsi" w:hAnsiTheme="majorHAnsi" w:cstheme="majorHAnsi"/>
          <w:sz w:val="24"/>
          <w:szCs w:val="24"/>
        </w:rPr>
        <w:t xml:space="preserve">Κατά συνέπεια, η εμπειρία που αποκτάται, η επιστημονική εξειδίκευση και η εξοικείωση του εκτελούντος τις σχετικές εργασίες αρχαιολόγου, τόσο με τις αμιγώς ερευνητικές εργασίες καθ’ </w:t>
      </w:r>
      <w:proofErr w:type="spellStart"/>
      <w:r w:rsidRPr="002E0565">
        <w:rPr>
          <w:rFonts w:asciiTheme="majorHAnsi" w:hAnsiTheme="majorHAnsi" w:cstheme="majorHAnsi"/>
          <w:sz w:val="24"/>
          <w:szCs w:val="24"/>
        </w:rPr>
        <w:t>εαυτές</w:t>
      </w:r>
      <w:proofErr w:type="spellEnd"/>
      <w:r w:rsidRPr="002E0565">
        <w:rPr>
          <w:rFonts w:asciiTheme="majorHAnsi" w:hAnsiTheme="majorHAnsi" w:cstheme="majorHAnsi"/>
          <w:sz w:val="24"/>
          <w:szCs w:val="24"/>
        </w:rPr>
        <w:t xml:space="preserve"> όσο και με τις διοικητικές διαδικασίες που εγγυώνται την εκτέλεση του έργου σε συμφωνία προς την αρχαιολογική νομοθεσία, είναι κατ’ </w:t>
      </w:r>
      <w:proofErr w:type="spellStart"/>
      <w:r w:rsidRPr="002E0565">
        <w:rPr>
          <w:rFonts w:asciiTheme="majorHAnsi" w:hAnsiTheme="majorHAnsi" w:cstheme="majorHAnsi"/>
          <w:sz w:val="24"/>
          <w:szCs w:val="24"/>
        </w:rPr>
        <w:t>ουσίαν</w:t>
      </w:r>
      <w:proofErr w:type="spellEnd"/>
      <w:r w:rsidRPr="002E0565">
        <w:rPr>
          <w:rFonts w:asciiTheme="majorHAnsi" w:hAnsiTheme="majorHAnsi" w:cstheme="majorHAnsi"/>
          <w:sz w:val="24"/>
          <w:szCs w:val="24"/>
        </w:rPr>
        <w:t xml:space="preserve"> ταυτόσημες, ανεξαρτήτως της παροχής των αντίστοιχων υπηρεσιών από τον αρχαιολόγο ως υπάλληλο της υπηρεσίας ή ως αντισυμβαλλόμενο του ιδιώτη κυρίου του έργου ή εργολάβου. Είναι, μάλιστα, για τον ίδιο ως άνω λόγο, που ο νομοθέτης επανειλημμένα έχει αναγνωρίσει την προϋπηρεσία που έχει παρασχεθεί σε αρχαιολογικές εργασίες, ανασκαφές ή συναφείς εργασίες, δυνάμει συμβάσεων με φορείς του ιδιωτικού δικαίου, τόσο ως προσόν διορισμού (όπως, ενδεικτικά, σύμφωνα με τις διατάξεις της </w:t>
      </w:r>
      <w:proofErr w:type="spellStart"/>
      <w:r w:rsidRPr="002E0565">
        <w:rPr>
          <w:rFonts w:asciiTheme="majorHAnsi" w:hAnsiTheme="majorHAnsi" w:cstheme="majorHAnsi"/>
          <w:sz w:val="24"/>
          <w:szCs w:val="24"/>
        </w:rPr>
        <w:t>περίπτ</w:t>
      </w:r>
      <w:proofErr w:type="spellEnd"/>
      <w:r w:rsidRPr="002E0565">
        <w:rPr>
          <w:rFonts w:asciiTheme="majorHAnsi" w:hAnsiTheme="majorHAnsi" w:cstheme="majorHAnsi"/>
          <w:sz w:val="24"/>
          <w:szCs w:val="24"/>
        </w:rPr>
        <w:t xml:space="preserve">. δ’ της παρ. 7 του άρθρου 7 του ν. 2557/1997), όσο όμως και ως κριτήριο μισθολογικής εξέλιξης (όπως λ.χ. κατά τις προβλέψεις των άρθρων 17 παρ. 5 του ν. 3525/2007 και 3 παρ. 4 του ν. 3562/2007). </w:t>
      </w:r>
    </w:p>
    <w:p w14:paraId="3C6FD02B" w14:textId="2891E31B" w:rsidR="002E0565" w:rsidRPr="002E0565" w:rsidRDefault="009A62BA">
      <w:pPr>
        <w:shd w:val="clear" w:color="auto" w:fill="FFFFFF"/>
        <w:spacing w:before="240" w:after="240"/>
        <w:jc w:val="both"/>
        <w:rPr>
          <w:rFonts w:asciiTheme="majorHAnsi" w:hAnsiTheme="majorHAnsi" w:cstheme="majorHAnsi"/>
          <w:sz w:val="24"/>
          <w:szCs w:val="24"/>
          <w:lang w:val="el-GR"/>
        </w:rPr>
      </w:pPr>
      <w:r w:rsidRPr="002E0565">
        <w:rPr>
          <w:rFonts w:asciiTheme="majorHAnsi" w:hAnsiTheme="majorHAnsi" w:cstheme="majorHAnsi"/>
          <w:sz w:val="24"/>
          <w:szCs w:val="24"/>
        </w:rPr>
        <w:t xml:space="preserve">Με την προτεινόμενη ρύθμιση, σε αρμονία προς τις ανωτέρω </w:t>
      </w:r>
      <w:proofErr w:type="spellStart"/>
      <w:r w:rsidRPr="002E0565">
        <w:rPr>
          <w:rFonts w:asciiTheme="majorHAnsi" w:hAnsiTheme="majorHAnsi" w:cstheme="majorHAnsi"/>
          <w:sz w:val="24"/>
          <w:szCs w:val="24"/>
        </w:rPr>
        <w:t>δικαιοπολιτικές</w:t>
      </w:r>
      <w:proofErr w:type="spellEnd"/>
      <w:r w:rsidRPr="002E0565">
        <w:rPr>
          <w:rFonts w:asciiTheme="majorHAnsi" w:hAnsiTheme="majorHAnsi" w:cstheme="majorHAnsi"/>
          <w:sz w:val="24"/>
          <w:szCs w:val="24"/>
        </w:rPr>
        <w:t xml:space="preserve"> διαπιστώσεις και επιλογές, αλλά και προς άρση αδικαιολόγητων μισθολογικών διακρίσεων μεταξύ υπαλλήλων του κλάδου ΠΕ Αρχαιολόγων, οι οποίοι μπορεί να διαθέτουν τον ίδιο χρόνο εμπειρίας σε αρχαιολογικές εργασίες, υπό την άμεση πάντα εποπτεία και έλεγχο της </w:t>
      </w:r>
      <w:r w:rsidRPr="002E0565">
        <w:rPr>
          <w:rFonts w:asciiTheme="majorHAnsi" w:hAnsiTheme="majorHAnsi" w:cstheme="majorHAnsi"/>
          <w:sz w:val="24"/>
          <w:szCs w:val="24"/>
        </w:rPr>
        <w:lastRenderedPageBreak/>
        <w:t>Αρχαιολογικής Υπηρεσίας, αλλά υπό διαφορετικό εργασιακό καθεστώς, προβλέπεται η αναγνώριση ως κριτηρίου μισθολογικής εξέλιξης και της προϋπηρεσίας που έχει παρασχεθεί σε εργοδότες του ιδιωτικού τομέα, υπό καθεστώς συμβάσεων εξαρτημένης εργασίας, αορίστου ή ορισμένου χρόνου ή με σύμβαση μίσθωσης έργου και η οποία αφορά σε αρχαιολογικά έργα ή εργασίες, κατά την έννοια των άρθρων 35 έως 38 του ν. 4858/2021 (Α’ 220), εφόσον αυτές διενεργούνται υπό την εποπτεία της οικείας Εφορείας Αρχαιοτήτων ή της Κεντρικής Υπηρεσίας του Υπουργείου Πολιτισμού.</w:t>
      </w:r>
    </w:p>
    <w:p w14:paraId="36EC3E8A" w14:textId="77777777" w:rsidR="001970BE" w:rsidRPr="002E0565" w:rsidRDefault="009A62BA">
      <w:pPr>
        <w:shd w:val="clear" w:color="auto" w:fill="FFFFFF"/>
        <w:spacing w:before="240" w:after="240"/>
        <w:jc w:val="center"/>
        <w:rPr>
          <w:rFonts w:asciiTheme="majorHAnsi" w:hAnsiTheme="majorHAnsi" w:cstheme="majorHAnsi"/>
          <w:b/>
          <w:bCs/>
          <w:sz w:val="24"/>
          <w:szCs w:val="24"/>
        </w:rPr>
      </w:pPr>
      <w:r w:rsidRPr="002E0565">
        <w:rPr>
          <w:rFonts w:asciiTheme="majorHAnsi" w:hAnsiTheme="majorHAnsi" w:cstheme="majorHAnsi"/>
          <w:b/>
          <w:bCs/>
          <w:sz w:val="24"/>
          <w:szCs w:val="24"/>
        </w:rPr>
        <w:t>Β. ΤΡΟΠΟΛΟΓΙΑ-ΠΡΟΣΘΗΚΗ</w:t>
      </w:r>
    </w:p>
    <w:p w14:paraId="20280C67" w14:textId="77777777" w:rsidR="001970BE" w:rsidRPr="002E0565" w:rsidRDefault="009A62BA">
      <w:pPr>
        <w:shd w:val="clear" w:color="auto" w:fill="FFFFFF"/>
        <w:spacing w:before="240" w:after="240"/>
        <w:jc w:val="both"/>
        <w:rPr>
          <w:rFonts w:asciiTheme="majorHAnsi" w:hAnsiTheme="majorHAnsi" w:cstheme="majorHAnsi"/>
          <w:b/>
          <w:bCs/>
          <w:sz w:val="24"/>
          <w:szCs w:val="24"/>
        </w:rPr>
      </w:pPr>
      <w:r w:rsidRPr="002E0565">
        <w:rPr>
          <w:rFonts w:asciiTheme="majorHAnsi" w:hAnsiTheme="majorHAnsi" w:cstheme="majorHAnsi"/>
          <w:b/>
          <w:bCs/>
          <w:sz w:val="24"/>
          <w:szCs w:val="24"/>
        </w:rPr>
        <w:t xml:space="preserve">Άρθρο…. «Μισθολογική αναγνώριση προϋπηρεσίας αρχαιολόγων σε αρχαιολογικά έργα τρίτων – Τροποποίηση </w:t>
      </w:r>
      <w:proofErr w:type="spellStart"/>
      <w:r w:rsidRPr="002E0565">
        <w:rPr>
          <w:rFonts w:asciiTheme="majorHAnsi" w:hAnsiTheme="majorHAnsi" w:cstheme="majorHAnsi"/>
          <w:b/>
          <w:bCs/>
          <w:sz w:val="24"/>
          <w:szCs w:val="24"/>
        </w:rPr>
        <w:t>περίπτ</w:t>
      </w:r>
      <w:proofErr w:type="spellEnd"/>
      <w:r w:rsidRPr="002E0565">
        <w:rPr>
          <w:rFonts w:asciiTheme="majorHAnsi" w:hAnsiTheme="majorHAnsi" w:cstheme="majorHAnsi"/>
          <w:b/>
          <w:bCs/>
          <w:sz w:val="24"/>
          <w:szCs w:val="24"/>
        </w:rPr>
        <w:t>. α’ της παρ. 4 του άρθρου 11 του ν. 4354/2015»</w:t>
      </w:r>
    </w:p>
    <w:p w14:paraId="3B707DD8" w14:textId="77777777" w:rsidR="001970BE" w:rsidRPr="002E0565" w:rsidRDefault="009A62BA">
      <w:pPr>
        <w:shd w:val="clear" w:color="auto" w:fill="FFFFFF"/>
        <w:spacing w:before="240" w:after="240"/>
        <w:jc w:val="both"/>
        <w:rPr>
          <w:rFonts w:asciiTheme="majorHAnsi" w:hAnsiTheme="majorHAnsi" w:cstheme="majorHAnsi"/>
          <w:sz w:val="24"/>
          <w:szCs w:val="24"/>
        </w:rPr>
      </w:pPr>
      <w:r w:rsidRPr="002E0565">
        <w:rPr>
          <w:rFonts w:asciiTheme="majorHAnsi" w:hAnsiTheme="majorHAnsi" w:cstheme="majorHAnsi"/>
          <w:sz w:val="24"/>
          <w:szCs w:val="24"/>
        </w:rPr>
        <w:t xml:space="preserve">Στην </w:t>
      </w:r>
      <w:proofErr w:type="spellStart"/>
      <w:r w:rsidRPr="002E0565">
        <w:rPr>
          <w:rFonts w:asciiTheme="majorHAnsi" w:hAnsiTheme="majorHAnsi" w:cstheme="majorHAnsi"/>
          <w:sz w:val="24"/>
          <w:szCs w:val="24"/>
        </w:rPr>
        <w:t>περίπτ</w:t>
      </w:r>
      <w:proofErr w:type="spellEnd"/>
      <w:r w:rsidRPr="002E0565">
        <w:rPr>
          <w:rFonts w:asciiTheme="majorHAnsi" w:hAnsiTheme="majorHAnsi" w:cstheme="majorHAnsi"/>
          <w:sz w:val="24"/>
          <w:szCs w:val="24"/>
        </w:rPr>
        <w:t xml:space="preserve">. α’ της παρ. 4 του άρθρου 11 του ν. 4354/2015, όπως τροποποιήθηκε και ισχύει προστίθεται τελευταίο εδάφιο ως εξής: </w:t>
      </w:r>
    </w:p>
    <w:p w14:paraId="279768B0" w14:textId="17758C1B" w:rsidR="002E0565" w:rsidRPr="002E0565" w:rsidRDefault="009A62BA">
      <w:pPr>
        <w:shd w:val="clear" w:color="auto" w:fill="FFFFFF"/>
        <w:spacing w:before="240" w:after="240"/>
        <w:jc w:val="both"/>
        <w:rPr>
          <w:rFonts w:asciiTheme="majorHAnsi" w:hAnsiTheme="majorHAnsi" w:cstheme="majorHAnsi"/>
          <w:sz w:val="24"/>
          <w:szCs w:val="24"/>
          <w:lang w:val="el-GR"/>
        </w:rPr>
      </w:pPr>
      <w:r w:rsidRPr="002E0565">
        <w:rPr>
          <w:rFonts w:asciiTheme="majorHAnsi" w:hAnsiTheme="majorHAnsi" w:cstheme="majorHAnsi"/>
          <w:sz w:val="24"/>
          <w:szCs w:val="24"/>
        </w:rPr>
        <w:t>«Ως προς την μισθολογική εξέλιξη των υπαλλήλων κλάδου ΠΕ Αρχαιολόγων, λαμβάνεται υπόψη και η συνολική προϋπηρεσία που παρέχεται σε εργοδότες του ιδιωτικού τομέα, με σύμβαση εξαρτημένης εργασίας ορισμένου ή αορίστου χρόνου ή με σύμβαση μίσθωσης έργου και αφορά σε αρχαιολογικά έργα ή εργασίες, κατά την έννοια των άρθρων 35 έως 38 του ν. 4858/2021 (Α’ 220), όπως ιδίως σωστικές ή συστηματικές ανασκαφές ή άλλης μορφής αρχαιολογικές έρευνες ή έργα επί μνημείων, που διενεργούνται υπό την εποπτεία της οικείας Εφορείας Αρχαιοτήτων ή της Κεντρικής Υπηρεσίας του Υπουργείου Πολιτισμού».</w:t>
      </w:r>
    </w:p>
    <w:p w14:paraId="566F62F1" w14:textId="77777777" w:rsidR="000560E8" w:rsidRDefault="000560E8" w:rsidP="000560E8">
      <w:pPr>
        <w:shd w:val="clear" w:color="auto" w:fill="FFFFFF"/>
        <w:spacing w:before="240" w:after="240"/>
        <w:jc w:val="center"/>
        <w:rPr>
          <w:rFonts w:asciiTheme="majorHAnsi" w:hAnsiTheme="majorHAnsi" w:cstheme="majorHAnsi"/>
          <w:b/>
          <w:bCs/>
          <w:sz w:val="24"/>
          <w:szCs w:val="24"/>
          <w:lang w:val="el-GR"/>
        </w:rPr>
      </w:pPr>
    </w:p>
    <w:p w14:paraId="795A441B" w14:textId="77777777" w:rsidR="000560E8" w:rsidRDefault="000560E8" w:rsidP="000560E8">
      <w:pPr>
        <w:shd w:val="clear" w:color="auto" w:fill="FFFFFF"/>
        <w:spacing w:before="240" w:after="240"/>
        <w:jc w:val="center"/>
        <w:rPr>
          <w:rFonts w:asciiTheme="majorHAnsi" w:hAnsiTheme="majorHAnsi" w:cstheme="majorHAnsi"/>
          <w:b/>
          <w:bCs/>
          <w:sz w:val="24"/>
          <w:szCs w:val="24"/>
          <w:lang w:val="el-GR"/>
        </w:rPr>
      </w:pPr>
    </w:p>
    <w:p w14:paraId="48852C4B" w14:textId="0A339EA8" w:rsidR="0009124B" w:rsidRPr="0009124B" w:rsidRDefault="009A62BA" w:rsidP="000560E8">
      <w:pPr>
        <w:shd w:val="clear" w:color="auto" w:fill="FFFFFF"/>
        <w:spacing w:before="240" w:after="240"/>
        <w:jc w:val="center"/>
        <w:rPr>
          <w:rFonts w:asciiTheme="majorHAnsi" w:hAnsiTheme="majorHAnsi" w:cstheme="majorHAnsi"/>
          <w:b/>
          <w:bCs/>
          <w:sz w:val="24"/>
          <w:szCs w:val="24"/>
          <w:lang w:val="el-GR"/>
        </w:rPr>
      </w:pPr>
      <w:r w:rsidRPr="002E0565">
        <w:rPr>
          <w:rFonts w:asciiTheme="majorHAnsi" w:hAnsiTheme="majorHAnsi" w:cstheme="majorHAnsi"/>
          <w:b/>
          <w:bCs/>
          <w:sz w:val="24"/>
          <w:szCs w:val="24"/>
        </w:rPr>
        <w:t>ΠΙΝΑΚΑΣ ΤΡΟΠΟΠΟΙΟΜΕΝΩΝ Ή ΚΑΤΑΡΓΟΥΜΕΝΩΝ ΔΙΑΤΑΞΕΩΝ</w:t>
      </w:r>
    </w:p>
    <w:tbl>
      <w:tblPr>
        <w:tblStyle w:val="a7"/>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166"/>
        <w:gridCol w:w="3859"/>
      </w:tblGrid>
      <w:tr w:rsidR="001970BE" w:rsidRPr="002E0565" w14:paraId="548E437D" w14:textId="77777777">
        <w:trPr>
          <w:trHeight w:val="765"/>
        </w:trPr>
        <w:tc>
          <w:tcPr>
            <w:tcW w:w="902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7153B3D" w14:textId="77777777" w:rsidR="001970BE" w:rsidRPr="002E0565" w:rsidRDefault="009A62BA">
            <w:pPr>
              <w:shd w:val="clear" w:color="auto" w:fill="FFFFFF"/>
              <w:spacing w:before="240" w:after="240"/>
              <w:ind w:left="100"/>
              <w:jc w:val="center"/>
              <w:rPr>
                <w:rFonts w:asciiTheme="majorHAnsi" w:hAnsiTheme="majorHAnsi" w:cstheme="majorHAnsi"/>
                <w:b/>
                <w:bCs/>
                <w:sz w:val="24"/>
                <w:szCs w:val="24"/>
              </w:rPr>
            </w:pPr>
            <w:r w:rsidRPr="002E0565">
              <w:rPr>
                <w:rFonts w:asciiTheme="majorHAnsi" w:hAnsiTheme="majorHAnsi" w:cstheme="majorHAnsi"/>
                <w:b/>
                <w:bCs/>
                <w:sz w:val="24"/>
                <w:szCs w:val="24"/>
              </w:rPr>
              <w:t>Τροποποίηση – αντικατάσταση – συμπλήρωση διατάξεων</w:t>
            </w:r>
          </w:p>
        </w:tc>
      </w:tr>
      <w:tr w:rsidR="001970BE" w:rsidRPr="002E0565" w14:paraId="75F7CC57" w14:textId="77777777">
        <w:trPr>
          <w:trHeight w:val="765"/>
        </w:trPr>
        <w:tc>
          <w:tcPr>
            <w:tcW w:w="516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0BFF251" w14:textId="77777777" w:rsidR="001970BE" w:rsidRPr="002E0565" w:rsidRDefault="009A62BA">
            <w:pPr>
              <w:shd w:val="clear" w:color="auto" w:fill="FFFFFF"/>
              <w:spacing w:before="240" w:after="240"/>
              <w:ind w:left="100"/>
              <w:jc w:val="both"/>
              <w:rPr>
                <w:rFonts w:asciiTheme="majorHAnsi" w:hAnsiTheme="majorHAnsi" w:cstheme="majorHAnsi"/>
                <w:b/>
                <w:bCs/>
                <w:i/>
                <w:iCs/>
                <w:sz w:val="24"/>
                <w:szCs w:val="24"/>
              </w:rPr>
            </w:pPr>
            <w:r w:rsidRPr="002E0565">
              <w:rPr>
                <w:rFonts w:asciiTheme="majorHAnsi" w:hAnsiTheme="majorHAnsi" w:cstheme="majorHAnsi"/>
                <w:b/>
                <w:bCs/>
                <w:i/>
                <w:iCs/>
                <w:sz w:val="24"/>
                <w:szCs w:val="24"/>
              </w:rPr>
              <w:t>Διατάξεις αξιολογούμενης ρύθμισης</w:t>
            </w:r>
          </w:p>
        </w:tc>
        <w:tc>
          <w:tcPr>
            <w:tcW w:w="385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EBFFA73" w14:textId="77777777" w:rsidR="001970BE" w:rsidRPr="002E0565" w:rsidRDefault="009A62BA">
            <w:pPr>
              <w:shd w:val="clear" w:color="auto" w:fill="FFFFFF"/>
              <w:spacing w:before="240" w:after="240"/>
              <w:ind w:left="100"/>
              <w:jc w:val="both"/>
              <w:rPr>
                <w:rFonts w:asciiTheme="majorHAnsi" w:hAnsiTheme="majorHAnsi" w:cstheme="majorHAnsi"/>
                <w:b/>
                <w:bCs/>
                <w:i/>
                <w:iCs/>
                <w:sz w:val="24"/>
                <w:szCs w:val="24"/>
              </w:rPr>
            </w:pPr>
            <w:r w:rsidRPr="002E0565">
              <w:rPr>
                <w:rFonts w:asciiTheme="majorHAnsi" w:hAnsiTheme="majorHAnsi" w:cstheme="majorHAnsi"/>
                <w:b/>
                <w:bCs/>
                <w:i/>
                <w:iCs/>
                <w:sz w:val="24"/>
                <w:szCs w:val="24"/>
              </w:rPr>
              <w:t>Υφιστάμενες διατάξεις</w:t>
            </w:r>
          </w:p>
        </w:tc>
      </w:tr>
      <w:tr w:rsidR="001970BE" w:rsidRPr="002E0565" w14:paraId="599F7CC8" w14:textId="77777777" w:rsidTr="000560E8">
        <w:trPr>
          <w:trHeight w:val="5233"/>
        </w:trPr>
        <w:tc>
          <w:tcPr>
            <w:tcW w:w="516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43C7DE1" w14:textId="1FF4A698" w:rsidR="001970BE" w:rsidRPr="002E0565" w:rsidRDefault="009A62BA" w:rsidP="0009124B">
            <w:pPr>
              <w:shd w:val="clear" w:color="auto" w:fill="FFFFFF"/>
              <w:spacing w:before="40"/>
              <w:rPr>
                <w:rFonts w:asciiTheme="majorHAnsi" w:hAnsiTheme="majorHAnsi" w:cstheme="majorHAnsi"/>
                <w:sz w:val="24"/>
                <w:szCs w:val="24"/>
              </w:rPr>
            </w:pPr>
            <w:r w:rsidRPr="002E0565">
              <w:rPr>
                <w:rFonts w:asciiTheme="majorHAnsi" w:hAnsiTheme="majorHAnsi" w:cstheme="majorHAnsi"/>
                <w:sz w:val="24"/>
                <w:szCs w:val="24"/>
              </w:rPr>
              <w:lastRenderedPageBreak/>
              <w:t xml:space="preserve">Άρθρο…….«Μισθολογική αναγνώριση προϋπηρεσίας αρχαιολόγων σε αρχαιολογικά έργα τρίτων – Τροποποίηση </w:t>
            </w:r>
            <w:proofErr w:type="spellStart"/>
            <w:r w:rsidRPr="002E0565">
              <w:rPr>
                <w:rFonts w:asciiTheme="majorHAnsi" w:hAnsiTheme="majorHAnsi" w:cstheme="majorHAnsi"/>
                <w:sz w:val="24"/>
                <w:szCs w:val="24"/>
              </w:rPr>
              <w:t>περίπτ</w:t>
            </w:r>
            <w:proofErr w:type="spellEnd"/>
            <w:r w:rsidRPr="002E0565">
              <w:rPr>
                <w:rFonts w:asciiTheme="majorHAnsi" w:hAnsiTheme="majorHAnsi" w:cstheme="majorHAnsi"/>
                <w:sz w:val="24"/>
                <w:szCs w:val="24"/>
              </w:rPr>
              <w:t xml:space="preserve">. α’ της παρ. 4 του άρθρου 11 του ν. 4354/2015» </w:t>
            </w:r>
          </w:p>
          <w:p w14:paraId="6FB5E79E" w14:textId="77777777" w:rsidR="001970BE" w:rsidRPr="002E0565" w:rsidRDefault="009A62BA">
            <w:pPr>
              <w:shd w:val="clear" w:color="auto" w:fill="FFFFFF"/>
              <w:spacing w:before="240"/>
              <w:ind w:left="100"/>
              <w:jc w:val="both"/>
              <w:rPr>
                <w:rFonts w:asciiTheme="majorHAnsi" w:hAnsiTheme="majorHAnsi" w:cstheme="majorHAnsi"/>
                <w:sz w:val="24"/>
                <w:szCs w:val="24"/>
              </w:rPr>
            </w:pPr>
            <w:r w:rsidRPr="002E0565">
              <w:rPr>
                <w:rFonts w:asciiTheme="majorHAnsi" w:hAnsiTheme="majorHAnsi" w:cstheme="majorHAnsi"/>
                <w:sz w:val="24"/>
                <w:szCs w:val="24"/>
              </w:rPr>
              <w:t xml:space="preserve">«4.α. Ως προϋπηρεσία, που αναγνωρίζεται για την εξέλιξη των υπαλλήλων, που υπάγονται στις διατάξεις του παρόντος, στα μισθολογικά κλιμάκια του άρθρου 9, λαμβάνεται η υπηρεσία που προσφέρεται σε φορείς της παραγράφου 1 του άρθρου 7 των κρατών - μελών της Ευρωπαϊκής Ένωσης, καθώς και στους επίσημους θεσμούς και όργανα της Ευρωπαϊκής Ένωσης, με σχέση εξαρτημένης εργασίας δημοσίου ή ιδιωτικού δικαίου αορίστου ή ορισμένου χρόνου. Για υπηρεσίες που παρέχονται με μειωμένο ωράριο εργασίας, αναγνωρίζεται για μισθολογική εξέλιξη τόσος χρόνος, όσος προκύπτει από το πηλίκο της διαίρεσης του συνόλου των ωρών εργασίας δια του αριθμού των ωρών εβδομαδιαίας απασχόλησης που ισχύει για τον αντίστοιχο κλάδο υπαλλήλων. Για τον υπολογισμό της αναγνωριζόμενης κατά τα </w:t>
            </w:r>
            <w:proofErr w:type="spellStart"/>
            <w:r w:rsidRPr="002E0565">
              <w:rPr>
                <w:rFonts w:asciiTheme="majorHAnsi" w:hAnsiTheme="majorHAnsi" w:cstheme="majorHAnsi"/>
                <w:sz w:val="24"/>
                <w:szCs w:val="24"/>
              </w:rPr>
              <w:t>προα</w:t>
            </w:r>
            <w:proofErr w:type="spellEnd"/>
            <w:r w:rsidRPr="002E0565">
              <w:rPr>
                <w:rFonts w:asciiTheme="majorHAnsi" w:hAnsiTheme="majorHAnsi" w:cstheme="majorHAnsi"/>
                <w:sz w:val="24"/>
                <w:szCs w:val="24"/>
              </w:rPr>
              <w:t xml:space="preserve">- </w:t>
            </w:r>
            <w:proofErr w:type="spellStart"/>
            <w:r w:rsidRPr="002E0565">
              <w:rPr>
                <w:rFonts w:asciiTheme="majorHAnsi" w:hAnsiTheme="majorHAnsi" w:cstheme="majorHAnsi"/>
                <w:sz w:val="24"/>
                <w:szCs w:val="24"/>
              </w:rPr>
              <w:t>ναφερθέντα</w:t>
            </w:r>
            <w:proofErr w:type="spellEnd"/>
            <w:r w:rsidRPr="002E0565">
              <w:rPr>
                <w:rFonts w:asciiTheme="majorHAnsi" w:hAnsiTheme="majorHAnsi" w:cstheme="majorHAnsi"/>
                <w:sz w:val="24"/>
                <w:szCs w:val="24"/>
              </w:rPr>
              <w:t xml:space="preserve"> υπηρεσίας το έτος λογίζεται για τριακόσιες (300) ημέρες, ο μήνας για είκοσι πέντε (25) ημέρες και η εβδομάδα για έξι (6) ημέρες εργασίας. </w:t>
            </w:r>
          </w:p>
          <w:p w14:paraId="30839228" w14:textId="77777777" w:rsidR="001970BE" w:rsidRPr="002E0565" w:rsidRDefault="009A62BA">
            <w:pPr>
              <w:shd w:val="clear" w:color="auto" w:fill="FFFFFF"/>
              <w:spacing w:before="240"/>
              <w:ind w:left="100"/>
              <w:jc w:val="both"/>
              <w:rPr>
                <w:rFonts w:asciiTheme="majorHAnsi" w:hAnsiTheme="majorHAnsi" w:cstheme="majorHAnsi"/>
                <w:sz w:val="24"/>
                <w:szCs w:val="24"/>
              </w:rPr>
            </w:pPr>
            <w:r w:rsidRPr="002E0565">
              <w:rPr>
                <w:rFonts w:asciiTheme="majorHAnsi" w:hAnsiTheme="majorHAnsi" w:cstheme="majorHAnsi"/>
                <w:sz w:val="24"/>
                <w:szCs w:val="24"/>
              </w:rPr>
              <w:t xml:space="preserve">Επιπλέον, ως προς τη μισθολογική εξέλιξη των εκπαιδευτικών Πρωτοβάθμιας και Δευτεροβάθμιας Εκπαίδευσης λαμβάνεται υπόψη η συνολική εκπαιδευτική τους υπηρεσία σε σχολεία της Ιδιωτικής Εκπαίδευσης. </w:t>
            </w:r>
          </w:p>
          <w:p w14:paraId="428AE8D0" w14:textId="4874B4C0" w:rsidR="001970BE" w:rsidRPr="002E0565" w:rsidRDefault="009A62BA">
            <w:pPr>
              <w:shd w:val="clear" w:color="auto" w:fill="FFFFFF"/>
              <w:spacing w:before="240"/>
              <w:ind w:left="100"/>
              <w:jc w:val="both"/>
              <w:rPr>
                <w:rFonts w:asciiTheme="majorHAnsi" w:hAnsiTheme="majorHAnsi" w:cstheme="majorHAnsi"/>
                <w:b/>
                <w:bCs/>
                <w:sz w:val="24"/>
                <w:szCs w:val="24"/>
              </w:rPr>
            </w:pPr>
            <w:r w:rsidRPr="002E0565">
              <w:rPr>
                <w:rFonts w:asciiTheme="majorHAnsi" w:hAnsiTheme="majorHAnsi" w:cstheme="majorHAnsi"/>
                <w:sz w:val="24"/>
                <w:szCs w:val="24"/>
              </w:rPr>
              <w:t xml:space="preserve">Ως προς την μισθολογική εξέλιξη των υπαλλήλων κλάδου ΠΕ Αρχαιολόγων, λαμβάνεται υπόψη και η συνολική προϋπηρεσία που παρέχεται σε εργοδότες του ιδιωτικού τομέα, με σύμβαση εξαρτημένης εργασίας ορισμένου ή αορίστου χρόνου ή με σύμβαση μίσθωσης έργου και αφορά σε αρχαιολογικά έργα ή εργασίες, κατά την έννοια των άρθρων 35 έως 38 του ν. 4858/2021 (Α’ 220), όπως ιδίως σωστικές ή συστηματικές ανασκαφές </w:t>
            </w:r>
            <w:r w:rsidRPr="002E0565">
              <w:rPr>
                <w:rFonts w:asciiTheme="majorHAnsi" w:hAnsiTheme="majorHAnsi" w:cstheme="majorHAnsi"/>
                <w:sz w:val="24"/>
                <w:szCs w:val="24"/>
              </w:rPr>
              <w:lastRenderedPageBreak/>
              <w:t>ή άλλης μορφής αρχαιολογικές έρευνες ή έργα επί μνημείων, που διενεργούνται υπό την εποπτεία της οικείας Εφορείας Αρχαιοτήτων ή της Κεντρικής Υπηρεσίας του Υπουργείου Πολιτισμού.»</w:t>
            </w:r>
            <w:r w:rsidRPr="002E0565">
              <w:rPr>
                <w:rFonts w:asciiTheme="majorHAnsi" w:hAnsiTheme="majorHAnsi" w:cstheme="majorHAnsi"/>
                <w:b/>
                <w:bCs/>
                <w:sz w:val="24"/>
                <w:szCs w:val="24"/>
              </w:rPr>
              <w:t xml:space="preserve">                                 </w:t>
            </w:r>
          </w:p>
        </w:tc>
        <w:tc>
          <w:tcPr>
            <w:tcW w:w="385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6125D0F" w14:textId="4F1814CE" w:rsidR="001970BE" w:rsidRPr="002E0565" w:rsidRDefault="009A62BA" w:rsidP="0009124B">
            <w:pPr>
              <w:shd w:val="clear" w:color="auto" w:fill="FFFFFF"/>
              <w:spacing w:before="240" w:after="240"/>
              <w:jc w:val="both"/>
              <w:rPr>
                <w:rFonts w:asciiTheme="majorHAnsi" w:hAnsiTheme="majorHAnsi" w:cstheme="majorHAnsi"/>
                <w:sz w:val="24"/>
                <w:szCs w:val="24"/>
              </w:rPr>
            </w:pPr>
            <w:r w:rsidRPr="002E0565">
              <w:rPr>
                <w:rFonts w:asciiTheme="majorHAnsi" w:hAnsiTheme="majorHAnsi" w:cstheme="majorHAnsi"/>
                <w:sz w:val="24"/>
                <w:szCs w:val="24"/>
              </w:rPr>
              <w:lastRenderedPageBreak/>
              <w:t>Άρθρο 11 του ν. 4354/2015 - Χρόνος και τρόπος μισθολογικής εξέλιξης</w:t>
            </w:r>
          </w:p>
          <w:p w14:paraId="6988FF0F" w14:textId="77777777" w:rsidR="001970BE" w:rsidRPr="002E0565" w:rsidRDefault="009A62BA">
            <w:pPr>
              <w:shd w:val="clear" w:color="auto" w:fill="FFFFFF"/>
              <w:spacing w:before="240" w:after="240"/>
              <w:ind w:left="100"/>
              <w:jc w:val="both"/>
              <w:rPr>
                <w:rFonts w:asciiTheme="majorHAnsi" w:hAnsiTheme="majorHAnsi" w:cstheme="majorHAnsi"/>
                <w:sz w:val="24"/>
                <w:szCs w:val="24"/>
              </w:rPr>
            </w:pPr>
            <w:r w:rsidRPr="002E0565">
              <w:rPr>
                <w:rFonts w:asciiTheme="majorHAnsi" w:hAnsiTheme="majorHAnsi" w:cstheme="majorHAnsi"/>
                <w:sz w:val="24"/>
                <w:szCs w:val="24"/>
              </w:rPr>
              <w:br/>
              <w:t>«4.α. Ως προϋπηρεσία, που αναγνωρίζεται για την εξέλιξη των υπαλλήλων, που υπάγονται στις διατάξεις του παρόντος, στα μισθολογικά κλιμάκια του άρθρου 9, λαμβάνεται η υπηρεσία που προσφέρεται σε φορείς της παραγράφου 1 του άρθρου 7 των κρατών - μελών της Ευρωπαϊκής Ένωσης, καθώς και στους επίσημους θεσμούς και όργανα της Ευρωπαϊκής Ένωσης, με σχέση εξαρτημένης εργασίας δημοσίου ή ιδιωτικού δικαίου αορίστου ή ορισμένου χρόνου. Για υπηρεσίες που παρέχονται με μειωμένο ωράριο εργασίας, αναγνωρίζεται για μισθολογική εξέλιξη τόσος χρόνος, όσος προκύπτει από το πηλίκο της διαίρεσης του συνόλου των ωρών εργασίας δια του αριθμού των ωρών εβδομαδιαίας απασχόλησης που ισχύει για τον αντίστοιχο κλάδο υπαλλήλων. Για τον υπολογισμό της αναγνωριζόμενης κατά τα προαναφερθέντα υπηρεσίας το έτος λογίζεται για τριακόσιες (300) ημέρες, ο μήνας για είκοσι πέντε (25) ημέρες και η εβδομάδα για έξι (6) ημέρες εργασίας.</w:t>
            </w:r>
          </w:p>
          <w:p w14:paraId="48F42796" w14:textId="1ADBD369" w:rsidR="001970BE" w:rsidRPr="0009124B" w:rsidRDefault="009A62BA" w:rsidP="0009124B">
            <w:pPr>
              <w:shd w:val="clear" w:color="auto" w:fill="FFFFFF"/>
              <w:spacing w:before="240" w:after="240"/>
              <w:jc w:val="both"/>
              <w:rPr>
                <w:rFonts w:asciiTheme="majorHAnsi" w:hAnsiTheme="majorHAnsi" w:cstheme="majorHAnsi"/>
                <w:sz w:val="24"/>
                <w:szCs w:val="24"/>
                <w:lang w:val="el-GR"/>
              </w:rPr>
            </w:pPr>
            <w:r w:rsidRPr="002E0565">
              <w:rPr>
                <w:rFonts w:asciiTheme="majorHAnsi" w:hAnsiTheme="majorHAnsi" w:cstheme="majorHAnsi"/>
                <w:sz w:val="24"/>
                <w:szCs w:val="24"/>
              </w:rPr>
              <w:t xml:space="preserve">Επιπλέον, ως προς τη μισθολογική εξέλιξη των εκπαιδευτικών Πρωτοβάθμιας και Δευτεροβάθμιας Εκπαίδευσης λαμβάνεται υπόψη η συνολική εκπαιδευτική τους </w:t>
            </w:r>
            <w:r w:rsidRPr="002E0565">
              <w:rPr>
                <w:rFonts w:asciiTheme="majorHAnsi" w:hAnsiTheme="majorHAnsi" w:cstheme="majorHAnsi"/>
                <w:sz w:val="24"/>
                <w:szCs w:val="24"/>
              </w:rPr>
              <w:lastRenderedPageBreak/>
              <w:t>υπηρεσία σε σχολεία της Ιδιωτικής Εκπαίδευσης.»</w:t>
            </w:r>
          </w:p>
        </w:tc>
      </w:tr>
    </w:tbl>
    <w:p w14:paraId="42962A91" w14:textId="77777777" w:rsidR="000560E8" w:rsidRDefault="000560E8">
      <w:pPr>
        <w:shd w:val="clear" w:color="auto" w:fill="FFFFFF"/>
        <w:spacing w:before="240" w:after="240"/>
        <w:jc w:val="right"/>
        <w:rPr>
          <w:rFonts w:asciiTheme="majorHAnsi" w:hAnsiTheme="majorHAnsi" w:cstheme="majorHAnsi"/>
          <w:b/>
          <w:bCs/>
          <w:sz w:val="24"/>
          <w:szCs w:val="24"/>
          <w:lang w:val="el-GR"/>
        </w:rPr>
      </w:pPr>
    </w:p>
    <w:p w14:paraId="5682F5F2" w14:textId="1836B597" w:rsidR="001970BE" w:rsidRDefault="009A62BA">
      <w:pPr>
        <w:shd w:val="clear" w:color="auto" w:fill="FFFFFF"/>
        <w:spacing w:before="240" w:after="240"/>
        <w:jc w:val="right"/>
        <w:rPr>
          <w:rFonts w:asciiTheme="majorHAnsi" w:hAnsiTheme="majorHAnsi" w:cstheme="majorHAnsi"/>
          <w:b/>
          <w:bCs/>
          <w:sz w:val="24"/>
          <w:szCs w:val="24"/>
          <w:lang w:val="el-GR"/>
        </w:rPr>
      </w:pPr>
      <w:r w:rsidRPr="002E0565">
        <w:rPr>
          <w:rFonts w:asciiTheme="majorHAnsi" w:hAnsiTheme="majorHAnsi" w:cstheme="majorHAnsi"/>
          <w:b/>
          <w:bCs/>
          <w:sz w:val="24"/>
          <w:szCs w:val="24"/>
        </w:rPr>
        <w:t>Αθήνα, 26 Μαρτίου 2026</w:t>
      </w:r>
    </w:p>
    <w:p w14:paraId="7A22F19E" w14:textId="77777777" w:rsidR="000560E8" w:rsidRDefault="000560E8">
      <w:pPr>
        <w:shd w:val="clear" w:color="auto" w:fill="FFFFFF"/>
        <w:spacing w:before="240" w:after="240"/>
        <w:jc w:val="right"/>
        <w:rPr>
          <w:rFonts w:asciiTheme="majorHAnsi" w:hAnsiTheme="majorHAnsi" w:cstheme="majorHAnsi"/>
          <w:b/>
          <w:bCs/>
          <w:sz w:val="24"/>
          <w:szCs w:val="24"/>
          <w:lang w:val="el-GR"/>
        </w:rPr>
      </w:pPr>
    </w:p>
    <w:p w14:paraId="6AA34A8E" w14:textId="77777777" w:rsidR="000560E8" w:rsidRPr="000560E8" w:rsidRDefault="000560E8">
      <w:pPr>
        <w:shd w:val="clear" w:color="auto" w:fill="FFFFFF"/>
        <w:spacing w:before="240" w:after="240"/>
        <w:jc w:val="right"/>
        <w:rPr>
          <w:rFonts w:asciiTheme="majorHAnsi" w:hAnsiTheme="majorHAnsi" w:cstheme="majorHAnsi"/>
          <w:b/>
          <w:bCs/>
          <w:sz w:val="24"/>
          <w:szCs w:val="24"/>
          <w:lang w:val="el-GR"/>
        </w:rPr>
      </w:pPr>
    </w:p>
    <w:p w14:paraId="79223754" w14:textId="77777777" w:rsidR="001970BE" w:rsidRDefault="009A62BA">
      <w:pPr>
        <w:spacing w:before="240"/>
        <w:ind w:firstLine="560"/>
        <w:jc w:val="center"/>
        <w:rPr>
          <w:rFonts w:asciiTheme="majorHAnsi" w:hAnsiTheme="majorHAnsi" w:cstheme="majorHAnsi"/>
          <w:b/>
          <w:bCs/>
          <w:sz w:val="24"/>
          <w:szCs w:val="24"/>
          <w:lang w:val="el-GR"/>
        </w:rPr>
      </w:pPr>
      <w:r w:rsidRPr="002E0565">
        <w:rPr>
          <w:rFonts w:asciiTheme="majorHAnsi" w:hAnsiTheme="majorHAnsi" w:cstheme="majorHAnsi"/>
          <w:b/>
          <w:bCs/>
          <w:sz w:val="24"/>
          <w:szCs w:val="24"/>
        </w:rPr>
        <w:t>ΟΙ ΠΡΟΤΕΙΝΟΝΤΕΣ ΒΟΥΛΕΥΤΕΣ</w:t>
      </w:r>
    </w:p>
    <w:p w14:paraId="060C5517" w14:textId="77777777" w:rsidR="000560E8" w:rsidRDefault="000560E8">
      <w:pPr>
        <w:spacing w:before="240"/>
        <w:ind w:firstLine="560"/>
        <w:jc w:val="center"/>
        <w:rPr>
          <w:rFonts w:asciiTheme="majorHAnsi" w:hAnsiTheme="majorHAnsi" w:cstheme="majorHAnsi"/>
          <w:b/>
          <w:bCs/>
          <w:sz w:val="24"/>
          <w:szCs w:val="24"/>
          <w:lang w:val="el-GR"/>
        </w:rPr>
      </w:pPr>
    </w:p>
    <w:p w14:paraId="1D0BB321" w14:textId="25A7DBD8" w:rsidR="000560E8" w:rsidRPr="000560E8" w:rsidRDefault="000560E8">
      <w:pPr>
        <w:spacing w:before="240"/>
        <w:ind w:firstLine="560"/>
        <w:jc w:val="center"/>
        <w:rPr>
          <w:rFonts w:asciiTheme="majorHAnsi" w:hAnsiTheme="majorHAnsi" w:cstheme="majorHAnsi"/>
          <w:b/>
          <w:bCs/>
          <w:sz w:val="24"/>
          <w:szCs w:val="24"/>
          <w:lang w:val="el-GR"/>
        </w:rPr>
      </w:pPr>
    </w:p>
    <w:p w14:paraId="30B1795E" w14:textId="77777777" w:rsidR="001970BE" w:rsidRDefault="009A62BA">
      <w:pPr>
        <w:spacing w:before="240"/>
        <w:ind w:firstLine="560"/>
        <w:jc w:val="center"/>
        <w:rPr>
          <w:rFonts w:asciiTheme="majorHAnsi" w:hAnsiTheme="majorHAnsi" w:cstheme="majorHAnsi"/>
          <w:b/>
          <w:bCs/>
          <w:sz w:val="24"/>
          <w:szCs w:val="24"/>
          <w:lang w:val="el-GR"/>
        </w:rPr>
      </w:pPr>
      <w:r w:rsidRPr="002E0565">
        <w:rPr>
          <w:rFonts w:asciiTheme="majorHAnsi" w:hAnsiTheme="majorHAnsi" w:cstheme="majorHAnsi"/>
          <w:b/>
          <w:bCs/>
          <w:sz w:val="24"/>
          <w:szCs w:val="24"/>
        </w:rPr>
        <w:t>Βέττα Καλλιόπη</w:t>
      </w:r>
    </w:p>
    <w:p w14:paraId="0E05BB47" w14:textId="33A9B720" w:rsidR="000560E8" w:rsidRPr="000560E8" w:rsidRDefault="000560E8">
      <w:pPr>
        <w:spacing w:before="240"/>
        <w:ind w:firstLine="560"/>
        <w:jc w:val="center"/>
        <w:rPr>
          <w:rFonts w:asciiTheme="majorHAnsi" w:hAnsiTheme="majorHAnsi" w:cstheme="majorHAnsi"/>
          <w:b/>
          <w:bCs/>
          <w:sz w:val="24"/>
          <w:szCs w:val="24"/>
          <w:lang w:val="el-GR"/>
        </w:rPr>
      </w:pPr>
    </w:p>
    <w:p w14:paraId="2389DBB3" w14:textId="77777777" w:rsidR="001970BE" w:rsidRDefault="009A62BA">
      <w:pPr>
        <w:spacing w:before="240"/>
        <w:ind w:firstLine="560"/>
        <w:jc w:val="center"/>
        <w:rPr>
          <w:rFonts w:asciiTheme="majorHAnsi" w:hAnsiTheme="majorHAnsi" w:cstheme="majorHAnsi"/>
          <w:b/>
          <w:bCs/>
          <w:sz w:val="24"/>
          <w:szCs w:val="24"/>
          <w:lang w:val="el-GR"/>
        </w:rPr>
      </w:pPr>
      <w:r w:rsidRPr="002E0565">
        <w:rPr>
          <w:rFonts w:asciiTheme="majorHAnsi" w:hAnsiTheme="majorHAnsi" w:cstheme="majorHAnsi"/>
          <w:b/>
          <w:bCs/>
          <w:sz w:val="24"/>
          <w:szCs w:val="24"/>
        </w:rPr>
        <w:t xml:space="preserve">Καλαματιανός Διονύσιος – Χαράλαμπος </w:t>
      </w:r>
    </w:p>
    <w:p w14:paraId="2A080DE4" w14:textId="10E30F4F" w:rsidR="000560E8" w:rsidRPr="000560E8" w:rsidRDefault="000560E8">
      <w:pPr>
        <w:spacing w:before="240"/>
        <w:ind w:firstLine="560"/>
        <w:jc w:val="center"/>
        <w:rPr>
          <w:rFonts w:asciiTheme="majorHAnsi" w:hAnsiTheme="majorHAnsi" w:cstheme="majorHAnsi"/>
          <w:b/>
          <w:bCs/>
          <w:sz w:val="24"/>
          <w:szCs w:val="24"/>
          <w:lang w:val="el-GR"/>
        </w:rPr>
      </w:pPr>
    </w:p>
    <w:p w14:paraId="6ACFD613" w14:textId="653C8BF4" w:rsidR="001970BE" w:rsidRPr="002E0565" w:rsidRDefault="009A62BA" w:rsidP="002E0565">
      <w:pPr>
        <w:spacing w:before="240"/>
        <w:ind w:firstLine="560"/>
        <w:jc w:val="center"/>
        <w:rPr>
          <w:rFonts w:asciiTheme="majorHAnsi" w:hAnsiTheme="majorHAnsi" w:cstheme="majorHAnsi"/>
          <w:b/>
          <w:bCs/>
          <w:sz w:val="24"/>
          <w:szCs w:val="24"/>
          <w:lang w:val="el-GR"/>
        </w:rPr>
      </w:pPr>
      <w:bookmarkStart w:id="0" w:name="_heading=h.r8blgr16yo0x" w:colFirst="0" w:colLast="0"/>
      <w:bookmarkEnd w:id="0"/>
      <w:r w:rsidRPr="002E0565">
        <w:rPr>
          <w:rFonts w:asciiTheme="majorHAnsi" w:hAnsiTheme="majorHAnsi" w:cstheme="majorHAnsi"/>
          <w:b/>
          <w:bCs/>
          <w:sz w:val="24"/>
          <w:szCs w:val="24"/>
        </w:rPr>
        <w:t xml:space="preserve">Νοτοπούλου Αικατερίνη </w:t>
      </w:r>
    </w:p>
    <w:sectPr w:rsidR="001970BE" w:rsidRPr="002E0565" w:rsidSect="0009124B">
      <w:footerReference w:type="default" r:id="rId8"/>
      <w:pgSz w:w="11909" w:h="16834"/>
      <w:pgMar w:top="1077" w:right="1440" w:bottom="113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7B12E" w14:textId="77777777" w:rsidR="002E0565" w:rsidRDefault="002E0565" w:rsidP="002E0565">
      <w:pPr>
        <w:spacing w:line="240" w:lineRule="auto"/>
      </w:pPr>
      <w:r>
        <w:separator/>
      </w:r>
    </w:p>
  </w:endnote>
  <w:endnote w:type="continuationSeparator" w:id="0">
    <w:p w14:paraId="6F883F6B" w14:textId="77777777" w:rsidR="002E0565" w:rsidRDefault="002E0565" w:rsidP="002E05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embedRegular r:id="rId1" w:fontKey="{771F7F57-CE24-467C-9E63-E9FF90CBEFA3}"/>
  </w:font>
  <w:font w:name="Calibri">
    <w:panose1 w:val="020F0502020204030204"/>
    <w:charset w:val="A1"/>
    <w:family w:val="swiss"/>
    <w:pitch w:val="variable"/>
    <w:sig w:usb0="E4002EFF" w:usb1="C000247B" w:usb2="00000009" w:usb3="00000000" w:csb0="000001FF" w:csb1="00000000"/>
    <w:embedRegular r:id="rId2" w:fontKey="{AE9EEF23-7305-46F2-855C-578A9FAF5A6A}"/>
    <w:embedBold r:id="rId3" w:fontKey="{B4CC6A07-C316-4D40-BC84-83C47EF52635}"/>
    <w:embedBoldItalic r:id="rId4" w:fontKey="{CE6B72E9-4C8F-4BAB-A4B4-E3E6BC0A28B5}"/>
  </w:font>
  <w:font w:name="Arial Narrow">
    <w:panose1 w:val="020B0606020202030204"/>
    <w:charset w:val="A1"/>
    <w:family w:val="swiss"/>
    <w:pitch w:val="variable"/>
    <w:sig w:usb0="00000287" w:usb1="00000800" w:usb2="00000000" w:usb3="00000000" w:csb0="0000009F" w:csb1="00000000"/>
    <w:embedRegular r:id="rId5" w:fontKey="{FD7AF291-0126-4903-A46D-6FD5147D5A4C}"/>
  </w:font>
  <w:font w:name="Cambria">
    <w:panose1 w:val="02040503050406030204"/>
    <w:charset w:val="A1"/>
    <w:family w:val="roman"/>
    <w:pitch w:val="variable"/>
    <w:sig w:usb0="E00006FF" w:usb1="420024FF" w:usb2="02000000" w:usb3="00000000" w:csb0="0000019F" w:csb1="00000000"/>
    <w:embedRegular r:id="rId6" w:fontKey="{E661EC7B-A1B8-4C48-A1D4-0876D38B4F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014629"/>
      <w:docPartObj>
        <w:docPartGallery w:val="Page Numbers (Bottom of Page)"/>
        <w:docPartUnique/>
      </w:docPartObj>
    </w:sdtPr>
    <w:sdtEndPr/>
    <w:sdtContent>
      <w:p w14:paraId="439F8F11" w14:textId="4FAC343A" w:rsidR="002E0565" w:rsidRDefault="002E0565">
        <w:pPr>
          <w:pStyle w:val="a9"/>
          <w:jc w:val="right"/>
        </w:pPr>
        <w:r>
          <w:fldChar w:fldCharType="begin"/>
        </w:r>
        <w:r>
          <w:instrText>PAGE   \* MERGEFORMAT</w:instrText>
        </w:r>
        <w:r>
          <w:fldChar w:fldCharType="separate"/>
        </w:r>
        <w:r>
          <w:rPr>
            <w:lang w:val="el-GR"/>
          </w:rPr>
          <w:t>2</w:t>
        </w:r>
        <w:r>
          <w:fldChar w:fldCharType="end"/>
        </w:r>
      </w:p>
    </w:sdtContent>
  </w:sdt>
  <w:p w14:paraId="24CE4330" w14:textId="77777777" w:rsidR="002E0565" w:rsidRDefault="002E056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78C38" w14:textId="77777777" w:rsidR="002E0565" w:rsidRDefault="002E0565" w:rsidP="002E0565">
      <w:pPr>
        <w:spacing w:line="240" w:lineRule="auto"/>
      </w:pPr>
      <w:r>
        <w:separator/>
      </w:r>
    </w:p>
  </w:footnote>
  <w:footnote w:type="continuationSeparator" w:id="0">
    <w:p w14:paraId="46F20C5C" w14:textId="77777777" w:rsidR="002E0565" w:rsidRDefault="002E0565" w:rsidP="002E056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0BE"/>
    <w:rsid w:val="000560E8"/>
    <w:rsid w:val="0009124B"/>
    <w:rsid w:val="001970BE"/>
    <w:rsid w:val="002E0565"/>
    <w:rsid w:val="00330161"/>
    <w:rsid w:val="00741014"/>
    <w:rsid w:val="00784521"/>
    <w:rsid w:val="009A62BA"/>
    <w:rsid w:val="00C23E59"/>
    <w:rsid w:val="00E14215"/>
    <w:rsid w:val="00F1768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F6E45"/>
  <w15:docId w15:val="{0F199F59-65FE-474B-8587-FE2FE939A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4">
    <w:basedOn w:val="TableNormal0"/>
    <w:tblPr>
      <w:tblStyleRowBandSize w:val="1"/>
      <w:tblStyleColBandSize w:val="1"/>
    </w:tblPr>
  </w:style>
  <w:style w:type="paragraph" w:styleId="a5">
    <w:name w:val="Balloon Text"/>
    <w:link w:val="Char"/>
    <w:uiPriority w:val="99"/>
    <w:semiHidden/>
    <w:unhideWhenUsed/>
    <w:rsid w:val="00F64AF1"/>
    <w:pPr>
      <w:spacing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F64AF1"/>
    <w:rPr>
      <w:rFonts w:ascii="Tahoma" w:hAnsi="Tahoma" w:cs="Tahoma"/>
      <w:sz w:val="16"/>
      <w:szCs w:val="16"/>
    </w:rPr>
  </w:style>
  <w:style w:type="paragraph" w:styleId="a6">
    <w:name w:val="Subtitle"/>
    <w:basedOn w:val="a"/>
    <w:next w:val="a"/>
    <w:uiPriority w:val="11"/>
    <w:qFormat/>
    <w:pPr>
      <w:keepNext/>
      <w:keepLines/>
      <w:spacing w:after="320"/>
    </w:pPr>
    <w:rPr>
      <w:color w:val="666666"/>
      <w:sz w:val="30"/>
      <w:szCs w:val="30"/>
    </w:rPr>
  </w:style>
  <w:style w:type="table" w:customStyle="1" w:styleId="a7">
    <w:basedOn w:val="TableNormal0"/>
    <w:tblPr>
      <w:tblStyleRowBandSize w:val="1"/>
      <w:tblStyleColBandSize w:val="1"/>
    </w:tblPr>
  </w:style>
  <w:style w:type="paragraph" w:styleId="a8">
    <w:name w:val="header"/>
    <w:basedOn w:val="a"/>
    <w:link w:val="Char0"/>
    <w:uiPriority w:val="99"/>
    <w:unhideWhenUsed/>
    <w:rsid w:val="002E0565"/>
    <w:pPr>
      <w:tabs>
        <w:tab w:val="center" w:pos="4153"/>
        <w:tab w:val="right" w:pos="8306"/>
      </w:tabs>
      <w:spacing w:line="240" w:lineRule="auto"/>
    </w:pPr>
  </w:style>
  <w:style w:type="character" w:customStyle="1" w:styleId="Char0">
    <w:name w:val="Κεφαλίδα Char"/>
    <w:basedOn w:val="a0"/>
    <w:link w:val="a8"/>
    <w:uiPriority w:val="99"/>
    <w:rsid w:val="002E0565"/>
  </w:style>
  <w:style w:type="paragraph" w:styleId="a9">
    <w:name w:val="footer"/>
    <w:basedOn w:val="a"/>
    <w:link w:val="Char1"/>
    <w:uiPriority w:val="99"/>
    <w:unhideWhenUsed/>
    <w:rsid w:val="002E0565"/>
    <w:pPr>
      <w:tabs>
        <w:tab w:val="center" w:pos="4153"/>
        <w:tab w:val="right" w:pos="8306"/>
      </w:tabs>
      <w:spacing w:line="240" w:lineRule="auto"/>
    </w:pPr>
  </w:style>
  <w:style w:type="character" w:customStyle="1" w:styleId="Char1">
    <w:name w:val="Υποσέλιδο Char"/>
    <w:basedOn w:val="a0"/>
    <w:link w:val="a9"/>
    <w:uiPriority w:val="99"/>
    <w:rsid w:val="002E0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XSB5Cm/IL0LjJrOD6xg4xtyWmw==">CgMxLjAyDmgucjhibGdyMTZ5bzB4OAByITFwVEE3UjJUdG90cHltRHM4anFQTV9kTDJuajNNa0NOaA==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1638</Words>
  <Characters>8847</Characters>
  <Application>Microsoft Office Word</Application>
  <DocSecurity>0</DocSecurity>
  <Lines>73</Lines>
  <Paragraphs>20</Paragraphs>
  <ScaleCrop>false</ScaleCrop>
  <HeadingPairs>
    <vt:vector size="2" baseType="variant">
      <vt:variant>
        <vt:lpstr>Τίτλος</vt:lpstr>
      </vt:variant>
      <vt:variant>
        <vt:i4>1</vt:i4>
      </vt:variant>
    </vt:vector>
  </HeadingPairs>
  <TitlesOfParts>
    <vt:vector size="1" baseType="lpstr">
      <vt:lpstr/>
    </vt:vector>
  </TitlesOfParts>
  <Company>Hellenic Parliament BTE</Company>
  <LinksUpToDate>false</LinksUpToDate>
  <CharactersWithSpaces>10465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Σαπαρδάνη Στεργιανή</cp:lastModifiedBy>
  <cp:revision>6</cp:revision>
  <dcterms:created xsi:type="dcterms:W3CDTF">2026-03-20T12:55:00Z</dcterms:created>
  <dcterms:modified xsi:type="dcterms:W3CDTF">2026-03-26T08:52:00Z</dcterms:modified>
</cp:coreProperties>
</file>