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ΠΡΟΤΕΙΝΟΜΕΝΕΣ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ΑΠΑΝΤΗΣΕΙΣ ΘΕΜΑΤΩΝ</w:t>
      </w:r>
    </w:p>
    <w:p w:rsidR="00000000" w:rsidDel="00000000" w:rsidP="00000000" w:rsidRDefault="00000000" w:rsidRPr="00000000" w14:paraId="00000005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ΘΕΜΑ Α</w:t>
      </w:r>
    </w:p>
    <w:p w:rsidR="00000000" w:rsidDel="00000000" w:rsidP="00000000" w:rsidRDefault="00000000" w:rsidRPr="00000000" w14:paraId="00000007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</w:t>
      </w:r>
    </w:p>
    <w:p w:rsidR="00000000" w:rsidDel="00000000" w:rsidP="00000000" w:rsidRDefault="00000000" w:rsidRPr="00000000" w14:paraId="00000008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3"/>
          <w:szCs w:val="23"/>
          <w:rtl w:val="0"/>
        </w:rPr>
        <w:t xml:space="preserve">1.  → Σ</w:t>
      </w:r>
    </w:p>
    <w:p w:rsidR="00000000" w:rsidDel="00000000" w:rsidP="00000000" w:rsidRDefault="00000000" w:rsidRPr="00000000" w14:paraId="00000009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3"/>
          <w:szCs w:val="23"/>
          <w:rtl w:val="0"/>
        </w:rPr>
        <w:t xml:space="preserve">2. →Σ</w:t>
      </w:r>
    </w:p>
    <w:p w:rsidR="00000000" w:rsidDel="00000000" w:rsidP="00000000" w:rsidRDefault="00000000" w:rsidRPr="00000000" w14:paraId="0000000A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3"/>
          <w:szCs w:val="23"/>
          <w:rtl w:val="0"/>
        </w:rPr>
        <w:t xml:space="preserve">3. →Λ</w:t>
      </w:r>
    </w:p>
    <w:p w:rsidR="00000000" w:rsidDel="00000000" w:rsidP="00000000" w:rsidRDefault="00000000" w:rsidRPr="00000000" w14:paraId="0000000B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3"/>
          <w:szCs w:val="23"/>
          <w:rtl w:val="0"/>
        </w:rPr>
        <w:t xml:space="preserve">4. →Λ</w:t>
      </w:r>
    </w:p>
    <w:p w:rsidR="00000000" w:rsidDel="00000000" w:rsidP="00000000" w:rsidRDefault="00000000" w:rsidRPr="00000000" w14:paraId="0000000C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3"/>
          <w:szCs w:val="23"/>
          <w:rtl w:val="0"/>
        </w:rPr>
        <w:t xml:space="preserve">5.→Σ</w:t>
      </w:r>
    </w:p>
    <w:p w:rsidR="00000000" w:rsidDel="00000000" w:rsidP="00000000" w:rsidRDefault="00000000" w:rsidRPr="00000000" w14:paraId="0000000D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Α2 </w:t>
      </w:r>
    </w:p>
    <w:p w:rsidR="00000000" w:rsidDel="00000000" w:rsidP="00000000" w:rsidRDefault="00000000" w:rsidRPr="00000000" w14:paraId="0000000E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3"/>
          <w:szCs w:val="23"/>
          <w:rtl w:val="0"/>
        </w:rPr>
        <w:t xml:space="preserve">1.  → δ</w:t>
      </w:r>
    </w:p>
    <w:p w:rsidR="00000000" w:rsidDel="00000000" w:rsidP="00000000" w:rsidRDefault="00000000" w:rsidRPr="00000000" w14:paraId="0000000F">
      <w:pPr>
        <w:jc w:val="both"/>
        <w:rPr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3"/>
          <w:szCs w:val="23"/>
          <w:rtl w:val="0"/>
        </w:rPr>
        <w:t xml:space="preserve">2. →γ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3"/>
          <w:szCs w:val="23"/>
          <w:rtl w:val="0"/>
        </w:rPr>
        <w:t xml:space="preserve">3. →α </w:t>
      </w:r>
    </w:p>
    <w:p w:rsidR="00000000" w:rsidDel="00000000" w:rsidP="00000000" w:rsidRDefault="00000000" w:rsidRPr="00000000" w14:paraId="00000011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3"/>
          <w:szCs w:val="23"/>
          <w:rtl w:val="0"/>
        </w:rPr>
        <w:t xml:space="preserve">4. →ε</w:t>
      </w:r>
    </w:p>
    <w:p w:rsidR="00000000" w:rsidDel="00000000" w:rsidP="00000000" w:rsidRDefault="00000000" w:rsidRPr="00000000" w14:paraId="00000012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Α3</w:t>
      </w:r>
    </w:p>
    <w:p w:rsidR="00000000" w:rsidDel="00000000" w:rsidP="00000000" w:rsidRDefault="00000000" w:rsidRPr="00000000" w14:paraId="00000014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γ. Χαρτοπλαστικό </w:t>
      </w:r>
    </w:p>
    <w:p w:rsidR="00000000" w:rsidDel="00000000" w:rsidP="00000000" w:rsidRDefault="00000000" w:rsidRPr="00000000" w14:paraId="00000015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ΘΕΜΑ Β </w:t>
      </w:r>
    </w:p>
    <w:p w:rsidR="00000000" w:rsidDel="00000000" w:rsidP="00000000" w:rsidRDefault="00000000" w:rsidRPr="00000000" w14:paraId="00000018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Β1.</w:t>
      </w:r>
    </w:p>
    <w:p w:rsidR="00000000" w:rsidDel="00000000" w:rsidP="00000000" w:rsidRDefault="00000000" w:rsidRPr="00000000" w14:paraId="00000019">
      <w:pPr>
        <w:ind w:right="-873.188976377952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α </w:t>
      </w:r>
      <w:r w:rsidDel="00000000" w:rsidR="00000000" w:rsidRPr="00000000">
        <w:rPr>
          <w:sz w:val="23"/>
          <w:szCs w:val="23"/>
          <w:rtl w:val="0"/>
        </w:rPr>
        <w:t xml:space="preserve"> Οργανική ουσία είναι το οργανικό μέρος</w:t>
        <w:tab/>
        <w:t xml:space="preserve">των συστατικών του</w:t>
        <w:tab/>
        <w:t xml:space="preserve">εδάφους  που</w:t>
        <w:tab/>
        <w:t xml:space="preserve">αποτελείται</w:t>
        <w:tab/>
        <w:t xml:space="preserve">από</w:t>
        <w:tab/>
        <w:t xml:space="preserve">ζωικά</w:t>
        <w:tab/>
        <w:t xml:space="preserve">και φυτικά υπολείμματα, σε</w:t>
        <w:tab/>
        <w:t xml:space="preserve">διαδικασία αποικοδόμησης.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873.188976377952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β</w:t>
      </w:r>
      <w:r w:rsidDel="00000000" w:rsidR="00000000" w:rsidRPr="00000000">
        <w:rPr>
          <w:sz w:val="23"/>
          <w:szCs w:val="23"/>
          <w:rtl w:val="0"/>
        </w:rPr>
        <w:t xml:space="preserve"> Λέγοντας</w:t>
        <w:tab/>
        <w:t xml:space="preserve">κοπριά  εννοούμε τα</w:t>
        <w:tab/>
        <w:t xml:space="preserve">υγρά</w:t>
        <w:tab/>
        <w:t xml:space="preserve">και στερεά απόβλητα</w:t>
        <w:tab/>
        <w:t xml:space="preserve">των αγροτικών ζώων.</w:t>
      </w:r>
    </w:p>
    <w:p w:rsidR="00000000" w:rsidDel="00000000" w:rsidP="00000000" w:rsidRDefault="00000000" w:rsidRPr="00000000" w14:paraId="0000001B">
      <w:pPr>
        <w:ind w:right="-873.188976377952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γ </w:t>
      </w:r>
      <w:r w:rsidDel="00000000" w:rsidR="00000000" w:rsidRPr="00000000">
        <w:rPr>
          <w:sz w:val="23"/>
          <w:szCs w:val="23"/>
          <w:rtl w:val="0"/>
        </w:rPr>
        <w:t xml:space="preserve">Η περιεκτικότητά της στα διάφορα στοιχεία ποικίλλει ανάλογα</w:t>
        <w:tab/>
        <w:t xml:space="preserve">με:   το</w:t>
        <w:tab/>
        <w:t xml:space="preserve">είδος</w:t>
        <w:tab/>
        <w:t xml:space="preserve">του ζώου</w:t>
        <w:tab/>
        <w:t xml:space="preserve">(αιγοπρόβατα,κότες</w:t>
        <w:tab/>
        <w:t xml:space="preserve">κτλ.) </w:t>
        <w:tab/>
        <w:t xml:space="preserve">τη</w:t>
        <w:tab/>
        <w:t xml:space="preserve">διατροφή του</w:t>
        <w:tab/>
        <w:t xml:space="preserve">(χόρτο</w:t>
        <w:tab/>
        <w:t xml:space="preserve">βοσκής, ξηρή</w:t>
        <w:tab/>
        <w:t xml:space="preserve">τροφή</w:t>
        <w:tab/>
        <w:t xml:space="preserve">κτλ.) τις συνθήκες</w:t>
        <w:tab/>
        <w:t xml:space="preserve">σταβλισμού</w:t>
        <w:tab/>
        <w:t xml:space="preserve">και</w:t>
        <w:tab/>
        <w:t xml:space="preserve">παραλαβής</w:t>
        <w:tab/>
        <w:t xml:space="preserve">της</w:t>
        <w:tab/>
        <w:t xml:space="preserve">κοπριάς (π.χ.</w:t>
        <w:tab/>
        <w:t xml:space="preserve">των</w:t>
        <w:tab/>
        <w:t xml:space="preserve">στερεών</w:t>
        <w:tab/>
        <w:t xml:space="preserve"> αποβλήτων</w:t>
        <w:tab/>
        <w:t xml:space="preserve">και</w:t>
        <w:tab/>
        <w:t xml:space="preserve">ούρων)</w:t>
      </w:r>
    </w:p>
    <w:p w:rsidR="00000000" w:rsidDel="00000000" w:rsidP="00000000" w:rsidRDefault="00000000" w:rsidRPr="00000000" w14:paraId="0000001C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Β2. </w:t>
      </w:r>
      <w:r w:rsidDel="00000000" w:rsidR="00000000" w:rsidRPr="00000000">
        <w:rPr>
          <w:sz w:val="23"/>
          <w:szCs w:val="23"/>
          <w:rtl w:val="0"/>
        </w:rPr>
        <w:t xml:space="preserve">Προληπτικά για την αποφυγή επιμόλυνσης του λαδιού με εντομοκτόνα, μπορούν να γίνουν τα εξής:</w:t>
      </w:r>
    </w:p>
    <w:p w:rsidR="00000000" w:rsidDel="00000000" w:rsidP="00000000" w:rsidRDefault="00000000" w:rsidRPr="00000000" w14:paraId="0000001E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- ο ελαιόκαρπος από βιολογική καλλιέργεια να είναι η πρώτη παρτίδα που θα οδηγηθεί σε έκθλιψη, με την έναρξη της ημερήσιας λειτουργίας του ελαιουργείου, αφού θα έχουν πλυθεί σχολαστικά όλα τα μηχανήματα</w:t>
      </w:r>
    </w:p>
    <w:p w:rsidR="00000000" w:rsidDel="00000000" w:rsidP="00000000" w:rsidRDefault="00000000" w:rsidRPr="00000000" w14:paraId="0000001F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.- αν δεν είναι δυνατή η προηγούμενη λύση, τότε η πρώτη ποσότητα που θα παραληφθεί, να αποθηκευθεί ξεχωριστά και να θεωρηθεί συμβατικό λάδι, γιατί πιθανόν να περιέχει ίχνη, έστω, φυτοφαρμάκων</w:t>
      </w:r>
    </w:p>
    <w:p w:rsidR="00000000" w:rsidDel="00000000" w:rsidP="00000000" w:rsidRDefault="00000000" w:rsidRPr="00000000" w14:paraId="00000020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Β3.</w:t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ΔΙΑΤΡΟΦΗ</w:t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 Τα μηρυκαστικά καλύπτουν το 60% των θρεπτικών τους αναγκών από χονδροειδείς ζωοτροφές, </w:t>
      </w:r>
    </w:p>
    <w:p w:rsidR="00000000" w:rsidDel="00000000" w:rsidP="00000000" w:rsidRDefault="00000000" w:rsidRPr="00000000" w14:paraId="00000024">
      <w:pPr>
        <w:ind w:left="720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 ενώ τα μικρά μηρυκαστικά διατρέφονται με φυσικό και, κατά προτίμηση, μητρικό γάλα για 3 συγκεκριμένο χρονικό διάστημα. </w:t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Απαγορεύονται τα αμινοξέα, τα προϊόντα εκχύλισης, οι χρωστικές κ.ά.</w:t>
      </w:r>
    </w:p>
    <w:p w:rsidR="00000000" w:rsidDel="00000000" w:rsidP="00000000" w:rsidRDefault="00000000" w:rsidRPr="00000000" w14:paraId="00000026">
      <w:pPr>
        <w:ind w:left="720" w:firstLine="0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both"/>
        <w:rPr>
          <w:b w:val="1"/>
          <w:color w:val="030303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030303"/>
          <w:sz w:val="23"/>
          <w:szCs w:val="23"/>
          <w:rtl w:val="0"/>
        </w:rPr>
        <w:t xml:space="preserve">ΘΕΜΑ Γ </w:t>
      </w:r>
    </w:p>
    <w:p w:rsidR="00000000" w:rsidDel="00000000" w:rsidP="00000000" w:rsidRDefault="00000000" w:rsidRPr="00000000" w14:paraId="00000028">
      <w:pPr>
        <w:jc w:val="both"/>
        <w:rPr>
          <w:b w:val="1"/>
          <w:color w:val="030303"/>
          <w:sz w:val="23"/>
          <w:szCs w:val="23"/>
        </w:rPr>
      </w:pPr>
      <w:r w:rsidDel="00000000" w:rsidR="00000000" w:rsidRPr="00000000">
        <w:rPr>
          <w:b w:val="1"/>
          <w:color w:val="030303"/>
          <w:sz w:val="23"/>
          <w:szCs w:val="23"/>
          <w:rtl w:val="0"/>
        </w:rPr>
        <w:t xml:space="preserve">Γ1.</w:t>
      </w:r>
    </w:p>
    <w:p w:rsidR="00000000" w:rsidDel="00000000" w:rsidP="00000000" w:rsidRDefault="00000000" w:rsidRPr="00000000" w14:paraId="00000029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b w:val="1"/>
          <w:color w:val="030303"/>
          <w:sz w:val="23"/>
          <w:szCs w:val="23"/>
          <w:rtl w:val="0"/>
        </w:rPr>
        <w:t xml:space="preserve">α) .</w:t>
      </w:r>
      <w:r w:rsidDel="00000000" w:rsidR="00000000" w:rsidRPr="00000000">
        <w:rPr>
          <w:color w:val="030303"/>
          <w:sz w:val="23"/>
          <w:szCs w:val="23"/>
          <w:rtl w:val="0"/>
        </w:rPr>
        <w:t xml:space="preserve"> Η χρήση κτηνιατρικών φαρμάκων και αντιβιοτικών επιτρέπεται στη βιολογική εκτροφή μόνο για θεραπευτικούς λόγους, υπό αυστηρές προϋποθέσεις και για περιορισμένο αριθμό επεμβάσεων. Η απαγόρευση της χρήσης φαρμάκων και αντιβιοτικών ως προωθητών ανάπτυξης, αλλά ακόμα και για λόγους πρόληψης, αποτρέπει τη δημιουργία ανθεκτικών στελεχών μικροβίων</w:t>
      </w:r>
    </w:p>
    <w:p w:rsidR="00000000" w:rsidDel="00000000" w:rsidP="00000000" w:rsidRDefault="00000000" w:rsidRPr="00000000" w14:paraId="0000002A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1"/>
          <w:color w:val="030303"/>
          <w:sz w:val="23"/>
          <w:szCs w:val="23"/>
        </w:rPr>
      </w:pPr>
      <w:r w:rsidDel="00000000" w:rsidR="00000000" w:rsidRPr="00000000">
        <w:rPr>
          <w:b w:val="1"/>
          <w:color w:val="030303"/>
          <w:sz w:val="23"/>
          <w:szCs w:val="23"/>
          <w:rtl w:val="0"/>
        </w:rPr>
        <w:t xml:space="preserve">Γ2. α) </w:t>
      </w:r>
    </w:p>
    <w:p w:rsidR="00000000" w:rsidDel="00000000" w:rsidP="00000000" w:rsidRDefault="00000000" w:rsidRPr="00000000" w14:paraId="0000002C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color w:val="030303"/>
          <w:sz w:val="23"/>
          <w:szCs w:val="23"/>
          <w:rtl w:val="0"/>
        </w:rPr>
        <w:t xml:space="preserve">Εφαρμόζεται</w:t>
        <w:tab/>
        <w:t xml:space="preserve">ιδίως</w:t>
        <w:tab/>
        <w:t xml:space="preserve">στα</w:t>
        <w:tab/>
        <w:t xml:space="preserve">θερμοκήπια.</w:t>
        <w:tab/>
        <w:t xml:space="preserve">Εκεί,</w:t>
        <w:tab/>
        <w:t xml:space="preserve">καθώς</w:t>
        <w:tab/>
        <w:t xml:space="preserve">ο</w:t>
        <w:tab/>
        <w:t xml:space="preserve">χώρος</w:t>
        <w:tab/>
        <w:t xml:space="preserve"> είναι</w:t>
        <w:tab/>
        <w:t xml:space="preserve">κλειστός και  περιορισμένος,</w:t>
        <w:tab/>
        <w:t xml:space="preserve">εξασφαλίζεται</w:t>
        <w:tab/>
        <w:t xml:space="preserve">με</w:t>
        <w:tab/>
        <w:t xml:space="preserve">μεγαλύτερη</w:t>
        <w:tab/>
        <w:t xml:space="preserve">σιγουριά</w:t>
        <w:tab/>
        <w:t xml:space="preserve">η επιτυχία του</w:t>
      </w:r>
    </w:p>
    <w:p w:rsidR="00000000" w:rsidDel="00000000" w:rsidP="00000000" w:rsidRDefault="00000000" w:rsidRPr="00000000" w14:paraId="0000002D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color w:val="030303"/>
          <w:sz w:val="23"/>
          <w:szCs w:val="23"/>
          <w:rtl w:val="0"/>
        </w:rPr>
        <w:t xml:space="preserve">β)  - έντομο</w:t>
        <w:tab/>
        <w:t xml:space="preserve">εναντίον εντόμου,</w:t>
        <w:tab/>
      </w:r>
    </w:p>
    <w:p w:rsidR="00000000" w:rsidDel="00000000" w:rsidP="00000000" w:rsidRDefault="00000000" w:rsidRPr="00000000" w14:paraId="0000002E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color w:val="030303"/>
          <w:sz w:val="23"/>
          <w:szCs w:val="23"/>
          <w:rtl w:val="0"/>
        </w:rPr>
        <w:t xml:space="preserve">π.χ.</w:t>
        <w:tab/>
        <w:t xml:space="preserve">η εγκάρσια (Encarsia formosa)για το  αλευρώδη</w:t>
        <w:tab/>
        <w:t xml:space="preserve">στα</w:t>
        <w:tab/>
        <w:t xml:space="preserve">κηπευτικά</w:t>
        <w:tab/>
        <w:t xml:space="preserve">θερμοκηπίου,</w:t>
        <w:tab/>
        <w:t xml:space="preserve">πασχαλίτσες</w:t>
        <w:tab/>
        <w:t xml:space="preserve">(Coccinelidae) σε κοκκοειδή</w:t>
        <w:tab/>
        <w:t xml:space="preserve">εσπεριδοειδών</w:t>
      </w:r>
    </w:p>
    <w:p w:rsidR="00000000" w:rsidDel="00000000" w:rsidP="00000000" w:rsidRDefault="00000000" w:rsidRPr="00000000" w14:paraId="0000002F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color w:val="030303"/>
          <w:sz w:val="23"/>
          <w:szCs w:val="23"/>
          <w:rtl w:val="0"/>
        </w:rPr>
        <w:t xml:space="preserve">-βακτήριο εναντίον</w:t>
        <w:tab/>
        <w:t xml:space="preserve">εντόμου,</w:t>
        <w:tab/>
        <w:t xml:space="preserve">π.χ.</w:t>
        <w:tab/>
        <w:t xml:space="preserve">βάκιλος Θουριγγίας</w:t>
        <w:tab/>
        <w:t xml:space="preserve">(Bacillus</w:t>
        <w:tab/>
        <w:t xml:space="preserve"> thuringiensis)</w:t>
        <w:tab/>
        <w:t xml:space="preserve">για</w:t>
      </w:r>
    </w:p>
    <w:p w:rsidR="00000000" w:rsidDel="00000000" w:rsidP="00000000" w:rsidRDefault="00000000" w:rsidRPr="00000000" w14:paraId="00000030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color w:val="030303"/>
          <w:sz w:val="23"/>
          <w:szCs w:val="23"/>
          <w:rtl w:val="0"/>
        </w:rPr>
        <w:t xml:space="preserve">τον</w:t>
        <w:tab/>
        <w:t xml:space="preserve">πυρηνοτρήτη</w:t>
        <w:tab/>
        <w:t xml:space="preserve">της ελιάς, την</w:t>
        <w:tab/>
        <w:t xml:space="preserve">ευδεμίδα του</w:t>
        <w:tab/>
        <w:t xml:space="preserve">αμπελιού, το</w:t>
        <w:tab/>
        <w:t xml:space="preserve">πράσινο σκουλήκι της</w:t>
        <w:tab/>
        <w:t xml:space="preserve">τομάτας, του</w:t>
        <w:tab/>
        <w:t xml:space="preserve">βαμβακιού</w:t>
        <w:tab/>
        <w:t xml:space="preserve">κ.ά. </w:t>
      </w:r>
    </w:p>
    <w:p w:rsidR="00000000" w:rsidDel="00000000" w:rsidP="00000000" w:rsidRDefault="00000000" w:rsidRPr="00000000" w14:paraId="00000031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b w:val="1"/>
          <w:color w:val="030303"/>
          <w:sz w:val="23"/>
          <w:szCs w:val="23"/>
          <w:rtl w:val="0"/>
        </w:rPr>
        <w:t xml:space="preserve">Γ3. </w:t>
      </w:r>
      <w:r w:rsidDel="00000000" w:rsidR="00000000" w:rsidRPr="00000000">
        <w:rPr>
          <w:color w:val="030303"/>
          <w:sz w:val="23"/>
          <w:szCs w:val="23"/>
          <w:rtl w:val="0"/>
        </w:rPr>
        <w:t xml:space="preserve">με</w:t>
        <w:tab/>
        <w:t xml:space="preserve"> βάση</w:t>
        <w:tab/>
        <w:t xml:space="preserve">τις απαιτήσεις</w:t>
        <w:tab/>
        <w:t xml:space="preserve">τους</w:t>
        <w:tab/>
        <w:t xml:space="preserve">σε θρεπτικά</w:t>
        <w:tab/>
        <w:t xml:space="preserve">συστατικά, την οργανική ουσία και</w:t>
        <w:tab/>
        <w:t xml:space="preserve">το άζωτο(εφόσον πρόκειται για ψυχανθή)</w:t>
        <w:tab/>
        <w:t xml:space="preserve">που</w:t>
        <w:tab/>
        <w:t xml:space="preserve">αυτά</w:t>
        <w:tab/>
        <w:t xml:space="preserve">δίνουν</w:t>
        <w:tab/>
        <w:t xml:space="preserve">στο</w:t>
        <w:tab/>
        <w:t xml:space="preserve">έδαφος μετά τη συγκομιδή τους,</w:t>
        <w:tab/>
        <w:t xml:space="preserve">τη</w:t>
        <w:tab/>
        <w:t xml:space="preserve">μορφή</w:t>
        <w:tab/>
        <w:t xml:space="preserve">του</w:t>
        <w:tab/>
        <w:t xml:space="preserve">ριζικού</w:t>
        <w:tab/>
        <w:t xml:space="preserve">τους</w:t>
        <w:tab/>
        <w:t xml:space="preserve">συστήματος,</w:t>
        <w:tab/>
        <w:t xml:space="preserve">τις καλλιεργητικές εργασίες</w:t>
        <w:tab/>
        <w:t xml:space="preserve">που</w:t>
        <w:tab/>
        <w:t xml:space="preserve">απαιτούν και</w:t>
        <w:tab/>
        <w:t xml:space="preserve">βέβαια</w:t>
        <w:tab/>
        <w:t xml:space="preserve">το εισόδημα που αποφέρουν.</w:t>
      </w:r>
    </w:p>
    <w:p w:rsidR="00000000" w:rsidDel="00000000" w:rsidP="00000000" w:rsidRDefault="00000000" w:rsidRPr="00000000" w14:paraId="00000033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color w:val="030303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ΘΕΜΑ Δ</w:t>
      </w:r>
    </w:p>
    <w:p w:rsidR="00000000" w:rsidDel="00000000" w:rsidP="00000000" w:rsidRDefault="00000000" w:rsidRPr="00000000" w14:paraId="00000035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Δ1</w:t>
      </w:r>
    </w:p>
    <w:p w:rsidR="00000000" w:rsidDel="00000000" w:rsidP="00000000" w:rsidRDefault="00000000" w:rsidRPr="00000000" w14:paraId="00000038">
      <w:pPr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α)  </w:t>
      </w:r>
      <w:r w:rsidDel="00000000" w:rsidR="00000000" w:rsidRPr="00000000">
        <w:rPr>
          <w:sz w:val="23"/>
          <w:szCs w:val="23"/>
          <w:rtl w:val="0"/>
        </w:rPr>
        <w:t xml:space="preserve">Η</w:t>
        <w:tab/>
        <w:t xml:space="preserve">χλωρή</w:t>
        <w:tab/>
        <w:t xml:space="preserve">λίπανση, συνήθως, εφαρμόζεται στο χωράφι με ετήσιες</w:t>
        <w:tab/>
        <w:t xml:space="preserve">καλλιέργειες</w:t>
        <w:tab/>
        <w:t xml:space="preserve">μεταξύ</w:t>
        <w:tab/>
        <w:t xml:space="preserve"> δύο</w:t>
        <w:tab/>
        <w:t xml:space="preserve">καλλιεργειών</w:t>
        <w:tab/>
        <w:t xml:space="preserve">και</w:t>
        <w:tab/>
        <w:t xml:space="preserve">η ενσωμάτωση των</w:t>
        <w:tab/>
        <w:t xml:space="preserve">φυτών</w:t>
        <w:tab/>
        <w:t xml:space="preserve">γίνεται</w:t>
        <w:tab/>
        <w:t xml:space="preserve">την άνοιξη ή</w:t>
        <w:tab/>
        <w:t xml:space="preserve">το  φθινόπωρο.</w:t>
      </w:r>
    </w:p>
    <w:p w:rsidR="00000000" w:rsidDel="00000000" w:rsidP="00000000" w:rsidRDefault="00000000" w:rsidRPr="00000000" w14:paraId="00000039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β) Οι</w:t>
        <w:tab/>
        <w:t xml:space="preserve">χλωρές λιπάνσεις που δίνουν σημαντικές</w:t>
        <w:tab/>
        <w:t xml:space="preserve">ποσότητες αζώτου και  οργανικής</w:t>
        <w:tab/>
        <w:t xml:space="preserve">ουσίας</w:t>
        <w:tab/>
        <w:t xml:space="preserve"> στο</w:t>
        <w:tab/>
        <w:t xml:space="preserve">έδαφος-μπορούν να</w:t>
        <w:tab/>
        <w:t xml:space="preserve">γίνονται κάθε</w:t>
        <w:tab/>
        <w:t xml:space="preserve">χρόνο</w:t>
        <w:tab/>
        <w:t xml:space="preserve">παράλληλα με την οργανική</w:t>
        <w:tab/>
        <w:t xml:space="preserve">λίπανση ή χρόνο παρά</w:t>
        <w:tab/>
        <w:t xml:space="preserve">χρόνο,</w:t>
        <w:tab/>
        <w:t xml:space="preserve">εναλλασσόμενες με</w:t>
        <w:tab/>
        <w:t xml:space="preserve">την  οργανική</w:t>
        <w:tab/>
        <w:t xml:space="preserve">λίπανση με κομπόστ ή κοπριά.Φυτά</w:t>
        <w:tab/>
        <w:t xml:space="preserve">που μπορούν να χρησιμοποιηθούν είναι</w:t>
        <w:tab/>
        <w:t xml:space="preserve">κυρίως</w:t>
        <w:tab/>
        <w:t xml:space="preserve">ψυχανθή, που είναι αζωτοδεσμευτικά φυτά, όπως</w:t>
        <w:tab/>
        <w:t xml:space="preserve">ο βίκος,</w:t>
        <w:tab/>
        <w:t xml:space="preserve">αλλά</w:t>
        <w:tab/>
        <w:t xml:space="preserve">και διάφορα είδη τριφυλλιο</w:t>
      </w:r>
    </w:p>
    <w:p w:rsidR="00000000" w:rsidDel="00000000" w:rsidP="00000000" w:rsidRDefault="00000000" w:rsidRPr="00000000" w14:paraId="0000003A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γ) </w:t>
      </w:r>
    </w:p>
    <w:p w:rsidR="00000000" w:rsidDel="00000000" w:rsidP="00000000" w:rsidRDefault="00000000" w:rsidRPr="00000000" w14:paraId="0000003B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Πώληση τοις μετρητοίς</w:t>
      </w:r>
    </w:p>
    <w:p w:rsidR="00000000" w:rsidDel="00000000" w:rsidP="00000000" w:rsidRDefault="00000000" w:rsidRPr="00000000" w14:paraId="0000003C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Άμεση επαφή και ενημέρωση των καταναλωτών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color w:val="030303"/>
          <w:sz w:val="23"/>
          <w:szCs w:val="23"/>
        </w:rPr>
      </w:pPr>
      <w:r w:rsidDel="00000000" w:rsidR="00000000" w:rsidRPr="00000000">
        <w:rPr>
          <w:b w:val="1"/>
          <w:color w:val="030303"/>
          <w:sz w:val="23"/>
          <w:szCs w:val="23"/>
          <w:rtl w:val="0"/>
        </w:rPr>
        <w:t xml:space="preserve">Δ2.</w:t>
      </w:r>
    </w:p>
    <w:p w:rsidR="00000000" w:rsidDel="00000000" w:rsidP="00000000" w:rsidRDefault="00000000" w:rsidRPr="00000000" w14:paraId="0000003E">
      <w:pPr>
        <w:jc w:val="both"/>
        <w:rPr>
          <w:color w:val="030303"/>
          <w:sz w:val="23"/>
          <w:szCs w:val="23"/>
        </w:rPr>
      </w:pPr>
      <w:r w:rsidDel="00000000" w:rsidR="00000000" w:rsidRPr="00000000">
        <w:rPr>
          <w:b w:val="1"/>
          <w:color w:val="030303"/>
          <w:sz w:val="23"/>
          <w:szCs w:val="23"/>
          <w:rtl w:val="0"/>
        </w:rPr>
        <w:t xml:space="preserve">α)</w:t>
      </w:r>
      <w:r w:rsidDel="00000000" w:rsidR="00000000" w:rsidRPr="00000000">
        <w:rPr>
          <w:color w:val="030303"/>
          <w:sz w:val="23"/>
          <w:szCs w:val="23"/>
          <w:rtl w:val="0"/>
        </w:rPr>
        <w:t xml:space="preserve"> Χαρακτηριστικότερο παράδειγμα  είναι</w:t>
        <w:tab/>
        <w:t xml:space="preserve">η ηλιοθέρμανση εδάφους, όπου καλλιεργούμε κηπευτικά. Με</w:t>
        <w:tab/>
        <w:t xml:space="preserve">τον τρόπο αυτό εξουδετερώνουμε παθογόνους μύκητες του εδάφους, που προκαλούν σήψεις (σαπίσματα) των φυτών. Η μέθοδος  συνίσταται στην κάλυψη του</w:t>
        <w:tab/>
        <w:t xml:space="preserve">εδάφους με διαφανές πλαστικό φύλλο, ώστε  να παραμείνει σε υψηλή θερμοκρασία, για αρκετό</w:t>
        <w:tab/>
        <w:t xml:space="preserve">διάστημα στη διάρκεια  του καλοκαιριού</w:t>
      </w:r>
    </w:p>
    <w:p w:rsidR="00000000" w:rsidDel="00000000" w:rsidP="00000000" w:rsidRDefault="00000000" w:rsidRPr="00000000" w14:paraId="0000003F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Β)</w:t>
      </w:r>
    </w:p>
    <w:p w:rsidR="00000000" w:rsidDel="00000000" w:rsidP="00000000" w:rsidRDefault="00000000" w:rsidRPr="00000000" w14:paraId="00000040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Η προσθήκη</w:t>
        <w:tab/>
        <w:t xml:space="preserve">άφθονης οργανικής</w:t>
        <w:tab/>
        <w:t xml:space="preserve">ουσίας</w:t>
        <w:tab/>
        <w:t xml:space="preserve">θα</w:t>
        <w:tab/>
        <w:t xml:space="preserve">τους</w:t>
        <w:tab/>
        <w:t xml:space="preserve">δώσει</w:t>
        <w:tab/>
        <w:t xml:space="preserve">θρεπτικά στοιχεία στην περίοδο που</w:t>
        <w:tab/>
        <w:t xml:space="preserve">τα έχουν ανάγκη, θα</w:t>
        <w:tab/>
        <w:t xml:space="preserve">κάνει</w:t>
        <w:tab/>
        <w:t xml:space="preserve">πιο συνεκτικά</w:t>
        <w:tab/>
        <w:t xml:space="preserve">τα αμμώδη εδάφη, ώστε να</w:t>
        <w:tab/>
        <w:t xml:space="preserve">κρατούν υγρασία, αλλά</w:t>
        <w:tab/>
        <w:t xml:space="preserve">και</w:t>
        <w:tab/>
        <w:t xml:space="preserve">θα</w:t>
        <w:tab/>
        <w:t xml:space="preserve">χαλαρώσει</w:t>
        <w:tab/>
        <w:t xml:space="preserve">τα</w:t>
        <w:tab/>
        <w:t xml:space="preserve">βαριά,</w:t>
        <w:tab/>
        <w:t xml:space="preserve">ώστε</w:t>
        <w:tab/>
        <w:t xml:space="preserve"> να</w:t>
        <w:tab/>
        <w:t xml:space="preserve">αναπνέουν</w:t>
        <w:tab/>
        <w:t xml:space="preserve">οι</w:t>
        <w:tab/>
        <w:t xml:space="preserve">ρίζες,</w:t>
        <w:tab/>
        <w:t xml:space="preserve">θα φέρει</w:t>
        <w:tab/>
        <w:t xml:space="preserve">τέλος</w:t>
        <w:tab/>
        <w:t xml:space="preserve">εξυγίανση</w:t>
        <w:tab/>
        <w:t xml:space="preserve">του</w:t>
        <w:tab/>
        <w:t xml:space="preserve">εδάφους:</w:t>
        <w:tab/>
        <w:t xml:space="preserve">οι</w:t>
        <w:tab/>
        <w:t xml:space="preserve">παθογόνοι</w:t>
        <w:tab/>
        <w:t xml:space="preserve"> μύκητες</w:t>
        <w:tab/>
        <w:t xml:space="preserve">θα ελέγχονται από</w:t>
        <w:tab/>
        <w:t xml:space="preserve">άλλους ωφέλιμους (φαινόμενο «μυκόστασης»)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Γ) Επιλέγετε 1 απο αυτα</w:t>
      </w:r>
    </w:p>
    <w:p w:rsidR="00000000" w:rsidDel="00000000" w:rsidP="00000000" w:rsidRDefault="00000000" w:rsidRPr="00000000" w14:paraId="00000042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μαϊντανό , </w:t>
      </w:r>
    </w:p>
    <w:p w:rsidR="00000000" w:rsidDel="00000000" w:rsidP="00000000" w:rsidRDefault="00000000" w:rsidRPr="00000000" w14:paraId="00000043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σέσκουλο</w:t>
      </w:r>
    </w:p>
    <w:p w:rsidR="00000000" w:rsidDel="00000000" w:rsidP="00000000" w:rsidRDefault="00000000" w:rsidRPr="00000000" w14:paraId="00000044">
      <w:pPr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σελινο</w:t>
      </w:r>
    </w:p>
    <w:p w:rsidR="00000000" w:rsidDel="00000000" w:rsidP="00000000" w:rsidRDefault="00000000" w:rsidRPr="00000000" w14:paraId="00000045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Επιμέλεια: </w:t>
      </w:r>
    </w:p>
    <w:p w:rsidR="00000000" w:rsidDel="00000000" w:rsidP="00000000" w:rsidRDefault="00000000" w:rsidRPr="00000000" w14:paraId="00000047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Ρέκκα Άννα</w:t>
      </w:r>
    </w:p>
    <w:p w:rsidR="00000000" w:rsidDel="00000000" w:rsidP="00000000" w:rsidRDefault="00000000" w:rsidRPr="00000000" w14:paraId="00000048">
      <w:pPr>
        <w:jc w:val="both"/>
        <w:rPr>
          <w:b w:val="1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1440.0000000000002" w:left="850.3937007874016" w:right="992.0078740157493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ind w:left="-850.3937007874016" w:firstLine="0"/>
      <w:jc w:val="left"/>
      <w:rPr>
        <w:color w:val="030303"/>
        <w:sz w:val="21"/>
        <w:szCs w:val="21"/>
        <w:shd w:fill="f9f9f9" w:val="clear"/>
      </w:rPr>
    </w:pPr>
    <w:r w:rsidDel="00000000" w:rsidR="00000000" w:rsidRPr="00000000">
      <w:rPr>
        <w:rtl w:val="0"/>
      </w:rPr>
      <w:t xml:space="preserve">       ΣΕΛΙΔΑ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jc w:val="center"/>
      <w:rPr>
        <w:rFonts w:ascii="Trebuchet MS" w:cs="Trebuchet MS" w:eastAsia="Trebuchet MS" w:hAnsi="Trebuchet MS"/>
      </w:rPr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                         </w:t>
    </w:r>
  </w:p>
  <w:p w:rsidR="00000000" w:rsidDel="00000000" w:rsidP="00000000" w:rsidRDefault="00000000" w:rsidRPr="00000000" w14:paraId="00000051">
    <w:pPr>
      <w:jc w:val="center"/>
      <w:rPr>
        <w:color w:val="1155cc"/>
        <w:u w:val="single"/>
      </w:rPr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                                                                           </w:t>
    </w:r>
    <w:hyperlink r:id="rId1">
      <w:r w:rsidDel="00000000" w:rsidR="00000000" w:rsidRPr="00000000">
        <w:rPr>
          <w:rFonts w:ascii="Trebuchet MS" w:cs="Trebuchet MS" w:eastAsia="Trebuchet MS" w:hAnsi="Trebuchet MS"/>
          <w:color w:val="1155cc"/>
          <w:u w:val="single"/>
          <w:rtl w:val="0"/>
        </w:rPr>
        <w:t xml:space="preserve">https://www.eykleidisfrontistirio.gr/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jc w:val="center"/>
      <w:rPr>
        <w:color w:val="1155cc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ind w:left="-566.9291338582677" w:hanging="569.9999999999999"/>
      <w:jc w:val="right"/>
      <w:rPr>
        <w:b w:val="1"/>
      </w:rPr>
    </w:pPr>
    <w:r w:rsidDel="00000000" w:rsidR="00000000" w:rsidRPr="00000000">
      <w:rPr>
        <w:b w:val="1"/>
      </w:rPr>
      <w:pict>
        <v:shape id="WordPictureWatermark1" style="position:absolute;width:480.7559055118111pt;height:474.047683574437pt;rotation:0;z-index:-503316481;mso-position-horizontal-relative:margin;mso-position-horizontal:right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b w:val="1"/>
      </w:rPr>
      <w:drawing>
        <wp:inline distB="114300" distT="114300" distL="114300" distR="114300">
          <wp:extent cx="614363" cy="614363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363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rtl w:val="0"/>
      </w:rPr>
      <w:t xml:space="preserve">                                                                                      ΑΡΧΕΣ ΒΙΟΛΟΓΙΚΗΣ ΘΕΩΡΙΑΣ ΕΠΑΛ</w:t>
    </w:r>
  </w:p>
  <w:p w:rsidR="00000000" w:rsidDel="00000000" w:rsidP="00000000" w:rsidRDefault="00000000" w:rsidRPr="00000000" w14:paraId="0000004D">
    <w:pPr>
      <w:ind w:left="-566.9291338582677" w:hanging="569.9999999999999"/>
      <w:jc w:val="right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ykleidisfrontistirio.g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