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9F" w:rsidRDefault="0073249F" w:rsidP="00A73189">
      <w:pPr>
        <w:spacing w:after="0"/>
        <w:jc w:val="center"/>
        <w:rPr>
          <w:rFonts w:cstheme="minorHAnsi"/>
          <w:b/>
        </w:rPr>
      </w:pPr>
      <w:r w:rsidRPr="00884129">
        <w:rPr>
          <w:rFonts w:cstheme="minorHAnsi"/>
          <w:b/>
        </w:rPr>
        <w:t>ΠΑΡΑΡΤΗΜΑ Α</w:t>
      </w:r>
      <w:r>
        <w:rPr>
          <w:rFonts w:cstheme="minorHAnsi"/>
          <w:b/>
        </w:rPr>
        <w:t>1</w:t>
      </w:r>
      <w:r w:rsidRPr="00884129">
        <w:rPr>
          <w:rFonts w:cstheme="minorHAnsi"/>
          <w:b/>
        </w:rPr>
        <w:t>: ΠΙΝΑΚΑΣ ΚΩΔΙΚΩΝ ΑΡΙΘΜΩΝ ΔΡΑΣΤΗΡΙΟΤΗΤΑΣ ΠΟΥ ΑΝΑΣΤΕΛΛΕΤΑΙ Η ΛΕΙΤΟΥΡΓΙΑ ΤΟΥΣ ΣΕ ΟΛΗ ΤΗΝ ΕΠΙΚΡΑΤΕΙΑ</w:t>
      </w:r>
    </w:p>
    <w:p w:rsidR="0073249F" w:rsidRPr="00884129" w:rsidRDefault="0073249F" w:rsidP="0073249F">
      <w:pPr>
        <w:spacing w:after="0"/>
        <w:jc w:val="center"/>
        <w:rPr>
          <w:rFonts w:cstheme="minorHAnsi"/>
          <w:b/>
        </w:rPr>
      </w:pPr>
      <w:r>
        <w:rPr>
          <w:rFonts w:cstheme="minorHAnsi"/>
          <w:b/>
        </w:rPr>
        <w:t>ΑΠΟ</w:t>
      </w:r>
      <w:r w:rsidRPr="00884129">
        <w:rPr>
          <w:rFonts w:cstheme="minorHAnsi"/>
          <w:b/>
        </w:rPr>
        <w:t xml:space="preserve"> </w:t>
      </w:r>
      <w:r>
        <w:rPr>
          <w:rFonts w:cstheme="minorHAnsi"/>
          <w:b/>
        </w:rPr>
        <w:t>5/4/2021</w:t>
      </w:r>
    </w:p>
    <w:p w:rsidR="0073249F" w:rsidRDefault="0073249F" w:rsidP="0073249F">
      <w:pPr>
        <w:spacing w:after="0"/>
        <w:jc w:val="center"/>
        <w:rPr>
          <w:rFonts w:cstheme="minorHAnsi"/>
          <w:b/>
          <w:sz w:val="20"/>
          <w:szCs w:val="20"/>
        </w:rPr>
      </w:pPr>
    </w:p>
    <w:p w:rsidR="0073249F" w:rsidRDefault="0073249F" w:rsidP="0073249F">
      <w:pPr>
        <w:jc w:val="both"/>
      </w:pPr>
      <w:r w:rsidRPr="00E166D1">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w:t>
      </w:r>
      <w:r>
        <w:t xml:space="preserve"> </w:t>
      </w:r>
      <w:r w:rsidRPr="00E166D1">
        <w:t xml:space="preserve">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FC0A94" w:rsidRDefault="00FC0A94" w:rsidP="0073249F">
      <w:pPr>
        <w:jc w:val="both"/>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b/>
                <w:sz w:val="20"/>
                <w:szCs w:val="20"/>
              </w:rPr>
            </w:pPr>
          </w:p>
          <w:p w:rsidR="0073249F" w:rsidRPr="00DD060F" w:rsidRDefault="0073249F" w:rsidP="00CB2CDF">
            <w:pPr>
              <w:spacing w:after="0" w:line="240" w:lineRule="auto"/>
              <w:rPr>
                <w:rFonts w:cstheme="minorHAnsi"/>
                <w:b/>
                <w:sz w:val="20"/>
                <w:szCs w:val="20"/>
              </w:rPr>
            </w:pPr>
            <w:r w:rsidRPr="00DD060F">
              <w:rPr>
                <w:rFonts w:cstheme="minorHAnsi"/>
                <w:b/>
                <w:sz w:val="20"/>
                <w:szCs w:val="20"/>
              </w:rPr>
              <w:t>ΚΑΔ</w:t>
            </w:r>
          </w:p>
        </w:tc>
        <w:tc>
          <w:tcPr>
            <w:tcW w:w="7043" w:type="dxa"/>
            <w:shd w:val="clear" w:color="auto" w:fill="auto"/>
            <w:noWrap/>
            <w:vAlign w:val="bottom"/>
            <w:hideMark/>
          </w:tcPr>
          <w:p w:rsidR="0073249F" w:rsidRPr="00DD060F" w:rsidRDefault="0073249F" w:rsidP="0061352E">
            <w:pPr>
              <w:spacing w:after="0" w:line="240" w:lineRule="auto"/>
              <w:jc w:val="both"/>
              <w:rPr>
                <w:rFonts w:cstheme="minorHAnsi"/>
                <w:b/>
                <w:sz w:val="20"/>
                <w:szCs w:val="20"/>
              </w:rPr>
            </w:pPr>
            <w:r w:rsidRPr="00DD060F">
              <w:rPr>
                <w:rFonts w:cstheme="minorHAnsi"/>
                <w:b/>
                <w:sz w:val="20"/>
                <w:szCs w:val="20"/>
              </w:rPr>
              <w:t>ΚΛΑΔΟΣ</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47.19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9553C8" w:rsidP="0061352E">
            <w:pPr>
              <w:spacing w:after="0" w:line="240" w:lineRule="auto"/>
              <w:jc w:val="both"/>
              <w:rPr>
                <w:rFonts w:cstheme="minorHAnsi"/>
                <w:sz w:val="20"/>
                <w:szCs w:val="20"/>
              </w:rPr>
            </w:pPr>
            <w:r w:rsidRPr="006059A9">
              <w:rPr>
                <w:rFonts w:cstheme="minorHAnsi"/>
                <w:color w:val="000000"/>
                <w:sz w:val="20"/>
                <w:szCs w:val="20"/>
              </w:rPr>
              <w:t xml:space="preserve">Άλλο λιανικό εμπόριο σε </w:t>
            </w:r>
            <w:r w:rsidRPr="009553C8">
              <w:rPr>
                <w:rFonts w:cstheme="minorHAnsi"/>
                <w:color w:val="000000"/>
                <w:sz w:val="20"/>
                <w:szCs w:val="20"/>
              </w:rPr>
              <w:t xml:space="preserve">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r w:rsidRPr="009553C8">
              <w:rPr>
                <w:rFonts w:cstheme="minorHAnsi"/>
                <w:sz w:val="20"/>
                <w:szCs w:val="20"/>
              </w:rPr>
              <w:t>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r w:rsidRPr="006059A9">
              <w:rPr>
                <w:rFonts w:cstheme="minorHAnsi"/>
                <w:color w:val="000000"/>
                <w:sz w:val="20"/>
                <w:szCs w:val="20"/>
              </w:rPr>
              <w:t xml:space="preserv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w:t>
            </w:r>
            <w:r w:rsidRPr="00DD060F">
              <w:rPr>
                <w:rFonts w:cstheme="minorHAnsi"/>
                <w:sz w:val="20"/>
                <w:szCs w:val="20"/>
              </w:rPr>
              <w:lastRenderedPageBreak/>
              <w:t>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325F33"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47.52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47.54</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βιβλίων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47.62.63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χαρτικών ειδών,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w:t>
            </w:r>
            <w:r w:rsidRPr="00DD060F">
              <w:rPr>
                <w:rFonts w:cstheme="minorHAnsi"/>
                <w:sz w:val="20"/>
                <w:szCs w:val="20"/>
              </w:rPr>
              <w:lastRenderedPageBreak/>
              <w:t>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47.64</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47.65</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 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47.75</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125105">
            <w:pPr>
              <w:spacing w:after="0" w:line="240" w:lineRule="auto"/>
              <w:jc w:val="both"/>
              <w:rPr>
                <w:rFonts w:cstheme="minorHAnsi"/>
                <w:sz w:val="20"/>
                <w:szCs w:val="20"/>
              </w:rPr>
            </w:pPr>
            <w:r w:rsidRPr="00DD060F">
              <w:rPr>
                <w:rFonts w:cstheme="minorHAnsi"/>
                <w:sz w:val="20"/>
                <w:szCs w:val="20"/>
              </w:rPr>
              <w:t>Λιανικό εμπόριο καλλυντικών και ειδών καλλωπισμού σε εξειδικευμένα καταστήματα, εκτός</w:t>
            </w:r>
            <w:r w:rsidR="00125105" w:rsidRPr="00DD060F">
              <w:rPr>
                <w:rFonts w:cstheme="minorHAnsi"/>
                <w:sz w:val="20"/>
                <w:szCs w:val="20"/>
              </w:rPr>
              <w:t xml:space="preserve"> από τις υπηρεσίες ηλεκτρονικού ή τηλεφωνικού εμπορίου με παράδοση κατ' οίκον (e-shop κ.τ.λ.), </w:t>
            </w:r>
            <w:r w:rsidRPr="00DD060F">
              <w:rPr>
                <w:rFonts w:cstheme="minorHAnsi"/>
                <w:sz w:val="20"/>
                <w:szCs w:val="20"/>
              </w:rPr>
              <w:t xml:space="preserve"> από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47.76</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47.77</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47.78</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Άλλο λιανικό εμπόριο καινούργιων ειδών σε εξειδικευμένα καταστήματα, εκτός από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μεταχειρισμένων ειδών σε καταστήματα, με εξαίρεση τις υπηρεσίες ηλεκτρονικού ή τηλεφωνικού εμπορίου με παράδοση κατ' οίκον (e-shop κ.τ.λ.), τις υπηρεσίες της εξ αποστάσεως προαγοράς/ 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55.30.11.00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Δραστηριότητες υπηρεσιών κατασκήνωσης (κάμπινγκ)</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56.10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56.21</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υπηρεσιών τροφοδοσίας για εκδηλώσεις </w:t>
            </w:r>
          </w:p>
        </w:tc>
      </w:tr>
      <w:tr w:rsidR="0073249F" w:rsidRPr="00DD060F" w:rsidTr="00CB2CDF">
        <w:trPr>
          <w:trHeight w:val="964"/>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56.29</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56.30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59.13.11.02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εκμετάλλευσης κινηματογραφικών ταινιών</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59.14</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προβολής κινηματογραφικών ταινιών                                                                                                                                                                                                                 </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61.90.10.07</w:t>
            </w:r>
          </w:p>
        </w:tc>
        <w:tc>
          <w:tcPr>
            <w:tcW w:w="7043" w:type="dxa"/>
            <w:shd w:val="clear" w:color="auto" w:fill="auto"/>
            <w:noWrap/>
            <w:hideMark/>
          </w:tcPr>
          <w:p w:rsidR="0073249F" w:rsidRPr="007F6491" w:rsidRDefault="0073249F" w:rsidP="0061352E">
            <w:pPr>
              <w:autoSpaceDE w:val="0"/>
              <w:autoSpaceDN w:val="0"/>
              <w:adjustRightInd w:val="0"/>
              <w:spacing w:after="0" w:line="240" w:lineRule="auto"/>
              <w:jc w:val="both"/>
              <w:rPr>
                <w:rFonts w:cstheme="minorHAnsi"/>
                <w:sz w:val="20"/>
                <w:szCs w:val="20"/>
              </w:rPr>
            </w:pPr>
            <w:r w:rsidRPr="007F6491">
              <w:rPr>
                <w:rFonts w:cstheme="minorHAnsi"/>
                <w:sz w:val="20"/>
                <w:szCs w:val="20"/>
              </w:rPr>
              <w:t>Υπηρεσίες πρόσβασης του κοινού στο διαδίκτυο (σε χώρους που δεν παρέχονται τρόφιμα ή ποτά)</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77.21</w:t>
            </w:r>
          </w:p>
        </w:tc>
        <w:tc>
          <w:tcPr>
            <w:tcW w:w="7043" w:type="dxa"/>
            <w:shd w:val="clear" w:color="auto" w:fill="auto"/>
            <w:noWrap/>
            <w:hideMark/>
          </w:tcPr>
          <w:p w:rsidR="0073249F" w:rsidRPr="007F6491" w:rsidRDefault="0073249F" w:rsidP="0061352E">
            <w:pPr>
              <w:autoSpaceDE w:val="0"/>
              <w:autoSpaceDN w:val="0"/>
              <w:adjustRightInd w:val="0"/>
              <w:spacing w:after="0" w:line="240" w:lineRule="auto"/>
              <w:jc w:val="both"/>
              <w:rPr>
                <w:rFonts w:cstheme="minorHAnsi"/>
                <w:sz w:val="20"/>
                <w:szCs w:val="20"/>
              </w:rPr>
            </w:pPr>
            <w:r w:rsidRPr="00DD060F">
              <w:rPr>
                <w:rFonts w:cstheme="minorHAnsi"/>
                <w:sz w:val="20"/>
                <w:szCs w:val="20"/>
              </w:rPr>
              <w:t>Ενοικίαση και εκμίσθωση ειδών αναψυχής και αθλητικών ειδών,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77.22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DD060F">
              <w:rPr>
                <w:rFonts w:cstheme="minorHAnsi"/>
                <w:sz w:val="20"/>
                <w:szCs w:val="20"/>
              </w:rPr>
              <w:t>Ενοικίαση βιντεοκασετών και δίσκων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77.39.13</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ενοικίασης και χρηματοδοτικής μίσθωσης μοτοσικλετών και τροχόσπιτων</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77.39.19.03</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ενοικίασης εξοπλισμού εκθέσεων</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79.90.32</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κρατήσεων για συνεδριακά κέντρα και εκθεσιακούς χώρους</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79.90.39</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κρατήσεων για εισιτήρια εκδηλώσεων, υπηρεσίες ψυχαγωγίας και αναψυχής και Άλλες υπηρεσίες κρατήσεων π.δ.κ.α.</w:t>
            </w:r>
          </w:p>
        </w:tc>
      </w:tr>
      <w:tr w:rsidR="0073249F" w:rsidRPr="00DD060F" w:rsidTr="00CB2CDF">
        <w:trPr>
          <w:trHeight w:val="281"/>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82.30</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Οργάνωση συνεδρίων και εμπορικών εκθέσεων</w:t>
            </w:r>
            <w:r w:rsidRPr="00B36B0B">
              <w:rPr>
                <w:rFonts w:cstheme="minorHAnsi"/>
                <w:sz w:val="20"/>
                <w:szCs w:val="20"/>
              </w:rPr>
              <w:t xml:space="preserve">                                                                                                                                                                                                                    </w:t>
            </w:r>
          </w:p>
        </w:tc>
      </w:tr>
      <w:tr w:rsidR="0073249F" w:rsidRPr="00DD060F" w:rsidTr="00CB2CDF">
        <w:trPr>
          <w:trHeight w:val="290"/>
        </w:trPr>
        <w:tc>
          <w:tcPr>
            <w:tcW w:w="1179" w:type="dxa"/>
            <w:shd w:val="clear" w:color="auto" w:fill="auto"/>
            <w:noWrap/>
          </w:tcPr>
          <w:p w:rsidR="0073249F" w:rsidRPr="00DA40DB" w:rsidRDefault="0073249F" w:rsidP="00CB2CDF">
            <w:pPr>
              <w:spacing w:after="0" w:line="240" w:lineRule="auto"/>
              <w:rPr>
                <w:rFonts w:cstheme="minorHAnsi"/>
                <w:sz w:val="20"/>
                <w:szCs w:val="20"/>
              </w:rPr>
            </w:pPr>
            <w:r w:rsidRPr="00DA40DB">
              <w:rPr>
                <w:rFonts w:cstheme="minorHAnsi"/>
                <w:sz w:val="20"/>
                <w:szCs w:val="20"/>
              </w:rPr>
              <w:lastRenderedPageBreak/>
              <w:t>85.10</w:t>
            </w:r>
          </w:p>
        </w:tc>
        <w:tc>
          <w:tcPr>
            <w:tcW w:w="7043" w:type="dxa"/>
            <w:shd w:val="clear" w:color="auto" w:fill="auto"/>
            <w:noWrap/>
          </w:tcPr>
          <w:p w:rsidR="0073249F" w:rsidRPr="00DA40DB" w:rsidRDefault="0073249F" w:rsidP="0061352E">
            <w:pPr>
              <w:spacing w:after="0" w:line="240" w:lineRule="auto"/>
              <w:jc w:val="both"/>
              <w:rPr>
                <w:rFonts w:cstheme="minorHAnsi"/>
                <w:sz w:val="20"/>
                <w:szCs w:val="20"/>
              </w:rPr>
            </w:pPr>
            <w:r w:rsidRPr="00DA40DB">
              <w:rPr>
                <w:rFonts w:cstheme="minorHAnsi"/>
                <w:sz w:val="20"/>
                <w:szCs w:val="20"/>
              </w:rPr>
              <w:t>Προσχολική εκπαίδευση με εξαίρεση την εξ αποστάσεως εκπαίδευση</w:t>
            </w:r>
          </w:p>
        </w:tc>
      </w:tr>
      <w:tr w:rsidR="0073249F" w:rsidRPr="00DD060F" w:rsidTr="00CB2CDF">
        <w:trPr>
          <w:trHeight w:val="290"/>
        </w:trPr>
        <w:tc>
          <w:tcPr>
            <w:tcW w:w="1179" w:type="dxa"/>
            <w:shd w:val="clear" w:color="auto" w:fill="auto"/>
            <w:noWrap/>
            <w:hideMark/>
          </w:tcPr>
          <w:p w:rsidR="0073249F" w:rsidRPr="00DA40DB" w:rsidRDefault="0073249F" w:rsidP="00CB2CDF">
            <w:pPr>
              <w:spacing w:after="0" w:line="240" w:lineRule="auto"/>
              <w:rPr>
                <w:rFonts w:cstheme="minorHAnsi"/>
                <w:sz w:val="20"/>
                <w:szCs w:val="20"/>
              </w:rPr>
            </w:pPr>
            <w:r w:rsidRPr="00DA40DB">
              <w:rPr>
                <w:rFonts w:cstheme="minorHAnsi"/>
                <w:sz w:val="20"/>
                <w:szCs w:val="20"/>
              </w:rPr>
              <w:t>85.51</w:t>
            </w:r>
          </w:p>
        </w:tc>
        <w:tc>
          <w:tcPr>
            <w:tcW w:w="7043" w:type="dxa"/>
            <w:shd w:val="clear" w:color="auto" w:fill="auto"/>
            <w:noWrap/>
            <w:hideMark/>
          </w:tcPr>
          <w:p w:rsidR="0073249F" w:rsidRPr="008035FE" w:rsidRDefault="0073249F" w:rsidP="0061352E">
            <w:pPr>
              <w:spacing w:after="0" w:line="240" w:lineRule="auto"/>
              <w:jc w:val="both"/>
              <w:rPr>
                <w:rFonts w:cstheme="minorHAnsi"/>
                <w:sz w:val="20"/>
                <w:szCs w:val="20"/>
              </w:rPr>
            </w:pPr>
            <w:r w:rsidRPr="00DD060F">
              <w:rPr>
                <w:rFonts w:cstheme="minorHAnsi"/>
                <w:sz w:val="20"/>
                <w:szCs w:val="20"/>
              </w:rPr>
              <w:t>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Α' και Β' κατηγορίας ποδοσφαίρου (Superleague Ι και ΙΙ)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Πολιτιστική εκπαίδευση, εξαιρείται η εξ αποστάσεως εκπαίδευση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85.53</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σχολών ερασιτεχνών οδηγών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85.59</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Άλλη εκπαίδευση π.δ.κ.α., εξαιρείται η ειδική αγωγή και η εξ αποστάσεως εκπαίδευση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88.10.11</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επίσκεψης και παροχής υποστήριξης σε ηλικιωμένους</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88.10.12</w:t>
            </w:r>
          </w:p>
        </w:tc>
        <w:tc>
          <w:tcPr>
            <w:tcW w:w="7043" w:type="dxa"/>
            <w:shd w:val="clear" w:color="auto" w:fill="auto"/>
            <w:noWrap/>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Υπηρεσίες κέντρων ημερήσιας φροντίδας ηλικιωμένων</w:t>
            </w:r>
          </w:p>
        </w:tc>
      </w:tr>
      <w:tr w:rsidR="0073249F" w:rsidRPr="00DD060F" w:rsidTr="00CB2CDF">
        <w:trPr>
          <w:trHeight w:val="290"/>
        </w:trPr>
        <w:tc>
          <w:tcPr>
            <w:tcW w:w="1179" w:type="dxa"/>
            <w:shd w:val="clear" w:color="auto" w:fill="auto"/>
            <w:noWrap/>
          </w:tcPr>
          <w:p w:rsidR="0073249F" w:rsidRPr="00DA40DB" w:rsidRDefault="0073249F" w:rsidP="00CB2CDF">
            <w:pPr>
              <w:spacing w:after="0" w:line="240" w:lineRule="auto"/>
              <w:rPr>
                <w:rFonts w:cstheme="minorHAnsi"/>
                <w:sz w:val="20"/>
                <w:szCs w:val="20"/>
              </w:rPr>
            </w:pPr>
            <w:r w:rsidRPr="00DA40DB">
              <w:rPr>
                <w:rFonts w:cstheme="minorHAnsi"/>
                <w:sz w:val="20"/>
                <w:szCs w:val="20"/>
              </w:rPr>
              <w:t>88.91</w:t>
            </w:r>
          </w:p>
        </w:tc>
        <w:tc>
          <w:tcPr>
            <w:tcW w:w="7043" w:type="dxa"/>
            <w:shd w:val="clear" w:color="auto" w:fill="auto"/>
            <w:noWrap/>
            <w:vAlign w:val="center"/>
          </w:tcPr>
          <w:p w:rsidR="0073249F" w:rsidRPr="00DA40DB" w:rsidRDefault="0073249F" w:rsidP="0061352E">
            <w:pPr>
              <w:spacing w:after="0" w:line="240" w:lineRule="auto"/>
              <w:jc w:val="both"/>
              <w:rPr>
                <w:rFonts w:cstheme="minorHAnsi"/>
                <w:sz w:val="20"/>
                <w:szCs w:val="20"/>
              </w:rPr>
            </w:pPr>
            <w:r w:rsidRPr="00DD060F">
              <w:rPr>
                <w:rFonts w:cstheme="minorHAnsi"/>
                <w:sz w:val="20"/>
                <w:szCs w:val="20"/>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 οίκον φύλαξης μικρών παιδιών (ΚΑΔ 88.91.13.03)</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90.01</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Τέχνες του θεάματος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90.02</w:t>
            </w:r>
          </w:p>
        </w:tc>
        <w:tc>
          <w:tcPr>
            <w:tcW w:w="7043" w:type="dxa"/>
            <w:shd w:val="clear" w:color="auto" w:fill="auto"/>
            <w:noWrap/>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Υποστηρικτικές δραστηριότητες για τις τέχνες του θεάματος</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90.03.11.04</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ενορχηστρωτή</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90.03.11.07</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μουσουργού</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90.03.11.17</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χορογράφου</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90.03.11.18</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χορωδού</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90.04</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Εκμετάλλευση αιθουσών θεαμάτων και συναφείς δραστηριότητες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91.01</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βιβλιοθηκών και αρχειοφυλακείων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91.02</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μουσείων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91.03</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Λειτουργία ιστορικών χώρων και κτιρίων και παρόμοιων πόλων έλξης επισκεπτών με εξαίρεση τους ανοικτούς αρχαιολογικούς χώρους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91.04</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βοτανικών και ζωολογικών κήπων και φυσικών βιοτόπων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92.00</w:t>
            </w:r>
          </w:p>
        </w:tc>
        <w:tc>
          <w:tcPr>
            <w:tcW w:w="7043" w:type="dxa"/>
            <w:shd w:val="clear" w:color="auto" w:fill="auto"/>
            <w:noWrap/>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Τυχερά παιχνίδια και στοιχήματα εκτός από Υπηρεσίες τυχερών παιχνιδιών σε απευθείας (on-line) σύνδεση (92.00.1</w:t>
            </w:r>
            <w:r>
              <w:rPr>
                <w:rFonts w:cstheme="minorHAnsi"/>
                <w:sz w:val="20"/>
                <w:szCs w:val="20"/>
              </w:rPr>
              <w:t>4), Υπηρεσίες στοιχημάτων σε απ</w:t>
            </w:r>
            <w:r w:rsidRPr="007F6491">
              <w:rPr>
                <w:rFonts w:cstheme="minorHAnsi"/>
                <w:sz w:val="20"/>
                <w:szCs w:val="20"/>
              </w:rPr>
              <w:t>ευθείας (on-line) σύνδεση (92.00.21)</w:t>
            </w:r>
            <w:r w:rsidRPr="00B36B0B">
              <w:rPr>
                <w:rFonts w:cstheme="minorHAnsi"/>
                <w:sz w:val="20"/>
                <w:szCs w:val="20"/>
              </w:rPr>
              <w:t xml:space="preserve">                                                                                                                            </w:t>
            </w:r>
          </w:p>
        </w:tc>
      </w:tr>
      <w:tr w:rsidR="0073249F" w:rsidRPr="00DD060F" w:rsidTr="00CB2CDF">
        <w:trPr>
          <w:trHeight w:val="290"/>
        </w:trPr>
        <w:tc>
          <w:tcPr>
            <w:tcW w:w="1179" w:type="dxa"/>
            <w:shd w:val="clear" w:color="auto" w:fill="auto"/>
            <w:noWrap/>
            <w:hideMark/>
          </w:tcPr>
          <w:p w:rsidR="0073249F" w:rsidRPr="00DE620C" w:rsidRDefault="0073249F" w:rsidP="00CB2CDF">
            <w:pPr>
              <w:spacing w:after="0" w:line="240" w:lineRule="auto"/>
              <w:rPr>
                <w:rFonts w:cstheme="minorHAnsi"/>
                <w:sz w:val="20"/>
                <w:szCs w:val="20"/>
              </w:rPr>
            </w:pPr>
            <w:r w:rsidRPr="00DE620C">
              <w:rPr>
                <w:rFonts w:cstheme="minorHAnsi"/>
                <w:sz w:val="20"/>
                <w:szCs w:val="20"/>
              </w:rPr>
              <w:t>93.11</w:t>
            </w:r>
          </w:p>
        </w:tc>
        <w:tc>
          <w:tcPr>
            <w:tcW w:w="7043" w:type="dxa"/>
            <w:shd w:val="clear" w:color="auto" w:fill="auto"/>
            <w:noWrap/>
            <w:hideMark/>
          </w:tcPr>
          <w:p w:rsidR="0073249F" w:rsidRPr="005E087B" w:rsidRDefault="0073249F" w:rsidP="0061352E">
            <w:pPr>
              <w:spacing w:after="0" w:line="240" w:lineRule="auto"/>
              <w:jc w:val="both"/>
              <w:rPr>
                <w:rFonts w:cstheme="minorHAnsi"/>
                <w:sz w:val="20"/>
                <w:szCs w:val="20"/>
              </w:rPr>
            </w:pPr>
            <w:r w:rsidRPr="00DD060F">
              <w:rPr>
                <w:rFonts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όπου διενεργούνται προπονήσεις και αγώνες ομάδων Superleague Ι και Superleague ΙΙ, ομάδων που συμμετέχουν στο πρωτάθλημα ποδοσφαίρου ανδρών της Football League και πρωτάθλημα ποδοσφαίρου γυναικών Α' εθνικής, στο πρωτάθλημα ποδοσφαίρου σάλας Α' εθνικής και στο πρωτάθλημα ποδοσφαίρου Γ' εθνικής, στο πρωτάθλημα Α' κατηγορίας καλαθοσφαίρισης ανδρών (basket league), Α1 κατηγορίας καλαθοσφαίρισης γυναικών και Α2 κατηγορίας καλαθοσφαίρισης ανδρών, στο πρωτάθλημα Α' κατηγορίας πετοσφαίρισης ανδρών και γυναικών (Volleyleague ανδρών και γυναικών), στο πρωτάθλημα Α1 κατηγορίας υδατοσφαίρισης ανδρών και γυναικών και Α1 κατηγορίας χειροσφαίρισης ανδρών και γυναικών, β) τις εγκαταστάσεις όπου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rsidR="0073249F" w:rsidRPr="00DD060F" w:rsidTr="00CB2CDF">
        <w:trPr>
          <w:trHeight w:val="290"/>
        </w:trPr>
        <w:tc>
          <w:tcPr>
            <w:tcW w:w="1179" w:type="dxa"/>
            <w:shd w:val="clear" w:color="auto" w:fill="auto"/>
            <w:noWrap/>
            <w:hideMark/>
          </w:tcPr>
          <w:p w:rsidR="0073249F" w:rsidRPr="00DE620C" w:rsidRDefault="0073249F" w:rsidP="00CB2CDF">
            <w:pPr>
              <w:spacing w:after="0" w:line="240" w:lineRule="auto"/>
              <w:rPr>
                <w:rFonts w:cstheme="minorHAnsi"/>
                <w:sz w:val="20"/>
                <w:szCs w:val="20"/>
              </w:rPr>
            </w:pPr>
            <w:r w:rsidRPr="00DE620C">
              <w:rPr>
                <w:rFonts w:cstheme="minorHAnsi"/>
                <w:sz w:val="20"/>
                <w:szCs w:val="20"/>
              </w:rPr>
              <w:t>93.12</w:t>
            </w:r>
          </w:p>
        </w:tc>
        <w:tc>
          <w:tcPr>
            <w:tcW w:w="7043" w:type="dxa"/>
            <w:shd w:val="clear" w:color="auto" w:fill="auto"/>
            <w:noWrap/>
            <w:hideMark/>
          </w:tcPr>
          <w:p w:rsidR="0073249F" w:rsidRPr="00DE620C"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αθλητικών ομίλων, με εξαίρεση τους αθλητικούς ομίλους που συμμετέχουν στην Superleague Ι και Superleague ΙΙ, στο πρωτάθλημα ποδοσφαίρου ανδρών της Football League και πρωτάθλημα ποδοσφαίρου γυναικών Α' εθνικής, στο πρωτάθλημα ποδοσφαίρου σάλας Α' εθνικής και στο πρωτάθλημα ποδοσφαίρου Γ' εθνικής, στο πρωτάθλημα της Α' κατηγορίας καλαθοσφαίρισης ανδρών (Basket league), Α1 κατηγορίας καλαθοσφαίρισης γυναικών και Α2 κατηγορίας καλαθοσφαίρισης ανδρών, στο πρωτάθλημα της Α' κατηγορίας πετοσφαίρισης ανδρών και γυναικών (Volleyleague ανδρών και γυναικών), Α1 κατηγορίας υδατοσφαίρισης ανδρών και γυναικών και Α1 </w:t>
            </w:r>
            <w:r w:rsidRPr="00DD060F">
              <w:rPr>
                <w:rFonts w:cstheme="minorHAnsi"/>
                <w:sz w:val="20"/>
                <w:szCs w:val="20"/>
              </w:rPr>
              <w:lastRenderedPageBreak/>
              <w:t>κατηγορίας χειροσφαίρισης ανδρών και γυναικών, καθώς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lastRenderedPageBreak/>
              <w:t>93.13</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Εγκαταστάσεις γυμναστικής εξαιρουμένης της δυνατότητας εξ αποστάσεως άσκησης με ψηφιακά μέσα</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93.19</w:t>
            </w:r>
          </w:p>
        </w:tc>
        <w:tc>
          <w:tcPr>
            <w:tcW w:w="7043" w:type="dxa"/>
            <w:shd w:val="clear" w:color="auto" w:fill="auto"/>
            <w:noWrap/>
            <w:hideMark/>
          </w:tcPr>
          <w:p w:rsidR="0073249F" w:rsidRPr="00934147" w:rsidRDefault="0073249F" w:rsidP="0061352E">
            <w:pPr>
              <w:spacing w:after="0" w:line="240" w:lineRule="auto"/>
              <w:jc w:val="both"/>
              <w:rPr>
                <w:rFonts w:cstheme="minorHAnsi"/>
                <w:sz w:val="20"/>
                <w:szCs w:val="20"/>
              </w:rPr>
            </w:pPr>
            <w:r w:rsidRPr="00DD060F">
              <w:rPr>
                <w:rFonts w:cstheme="minorHAnsi"/>
                <w:sz w:val="20"/>
                <w:szCs w:val="20"/>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93.21</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Δραστηριότητες πάρκων αναψυχής και άλλων θεματικών πάρκων                                                                                                                                                                                                        </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93.29</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Άλλες δραστηριότητες διασκέδασης και ψυχαγωγίας                                                                                                                                                                                                                  </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94.99.16</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DD060F">
              <w:rPr>
                <w:rFonts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96.02</w:t>
            </w:r>
          </w:p>
        </w:tc>
        <w:tc>
          <w:tcPr>
            <w:tcW w:w="7043" w:type="dxa"/>
            <w:shd w:val="clear" w:color="auto" w:fill="auto"/>
            <w:noWrap/>
            <w:hideMark/>
          </w:tcPr>
          <w:p w:rsidR="0073249F" w:rsidRPr="00195057" w:rsidRDefault="0073249F" w:rsidP="0061352E">
            <w:pPr>
              <w:spacing w:after="0" w:line="240" w:lineRule="auto"/>
              <w:jc w:val="both"/>
              <w:rPr>
                <w:rFonts w:cstheme="minorHAnsi"/>
                <w:sz w:val="20"/>
                <w:szCs w:val="20"/>
              </w:rPr>
            </w:pPr>
            <w:r w:rsidRPr="00DD060F">
              <w:rPr>
                <w:rFonts w:cstheme="minorHAnsi"/>
                <w:sz w:val="20"/>
                <w:szCs w:val="20"/>
              </w:rPr>
              <w:t>Δραστηριότητες κομμωτηρίων, κουρείων και κέντρων αισθητικής,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αισθητικών και υπηρεσιών περιποίησης νυχιών (ΚΑΔ 96.02.13.00), των υπηρεσιών αισθητικού αρωματοθεραπείας (ΚΑΔ 96.02.13.01), των υπηρεσιών εργαστηρίου αισθητικής προσώπου και σώματος (ινστιτούτου καλλονής) [ΚΑΔ 96.02.13.02], των υπηρεσιών μακιγιέρ - αισθητικού (ΚΑΔ 96.02.13.03), των υπηρεσιών μανικιούρ - πεντικιούρ (ΚΑΔ 96.02.13.04) και των υπηρεσιών ποδολογίας και καλλωπισμού νυχιών (ΚΑΔ 96.02.13.05)</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96.04</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DD060F">
              <w:rPr>
                <w:rFonts w:cstheme="minorHAnsi"/>
                <w:sz w:val="20"/>
                <w:szCs w:val="20"/>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96.09.19.06</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Υπηρεσίες γραφείων γνωριμίας ή συνοικεσίων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96.09.19.08</w:t>
            </w:r>
          </w:p>
        </w:tc>
        <w:tc>
          <w:tcPr>
            <w:tcW w:w="7043" w:type="dxa"/>
            <w:shd w:val="clear" w:color="auto" w:fill="auto"/>
            <w:hideMark/>
          </w:tcPr>
          <w:p w:rsidR="0073249F" w:rsidRPr="00B36B0B" w:rsidRDefault="0073249F" w:rsidP="00255B9D">
            <w:pPr>
              <w:spacing w:after="0" w:line="240" w:lineRule="auto"/>
              <w:jc w:val="both"/>
              <w:rPr>
                <w:rFonts w:cstheme="minorHAnsi"/>
                <w:sz w:val="20"/>
                <w:szCs w:val="20"/>
              </w:rPr>
            </w:pPr>
            <w:r w:rsidRPr="00DD060F">
              <w:rPr>
                <w:rFonts w:cstheme="minorHAnsi"/>
                <w:sz w:val="20"/>
                <w:szCs w:val="20"/>
              </w:rPr>
              <w:t>Υπηρεσίες γυαλίσματος υποδημάτων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w:t>
            </w:r>
            <w:r w:rsidR="00255B9D">
              <w:rPr>
                <w:rFonts w:cstheme="minorHAnsi"/>
                <w:sz w:val="20"/>
                <w:szCs w:val="20"/>
              </w:rPr>
              <w:t xml:space="preserve"> τηλεφωνικής παραγγελίας για πα</w:t>
            </w:r>
            <w:r w:rsidRPr="00DD060F">
              <w:rPr>
                <w:rFonts w:cstheme="minorHAnsi"/>
                <w:sz w:val="20"/>
                <w:szCs w:val="20"/>
              </w:rPr>
              <w:t xml:space="preserve">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w:t>
            </w:r>
            <w:r w:rsidR="00255B9D">
              <w:rPr>
                <w:rFonts w:cstheme="minorHAnsi"/>
                <w:sz w:val="20"/>
                <w:szCs w:val="20"/>
                <w:lang w:val="en-US"/>
              </w:rPr>
              <w:t>inside</w:t>
            </w:r>
            <w:r w:rsidRPr="00DD060F">
              <w:rPr>
                <w:rFonts w:cstheme="minorHAnsi"/>
                <w:sz w:val="20"/>
                <w:szCs w:val="20"/>
              </w:rPr>
              <w:t>)</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96.09.19.09</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δερματοστιξίας (τατουάζ)</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96.09.19.12</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ιερόδουλου</w:t>
            </w:r>
          </w:p>
        </w:tc>
      </w:tr>
      <w:tr w:rsidR="0073249F" w:rsidRPr="00DD060F" w:rsidTr="00CB2CDF">
        <w:trPr>
          <w:trHeight w:val="58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96.09.19.16</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Υπηρεσίες στολισμού εκκλησιών, αιθουσών κλπ (για γάμους, βαπτίσεις, κηδείες και </w:t>
            </w:r>
            <w:r>
              <w:rPr>
                <w:rFonts w:cstheme="minorHAnsi"/>
                <w:sz w:val="20"/>
                <w:szCs w:val="20"/>
              </w:rPr>
              <w:t>ά</w:t>
            </w:r>
            <w:r w:rsidRPr="00B36B0B">
              <w:rPr>
                <w:rFonts w:cstheme="minorHAnsi"/>
                <w:sz w:val="20"/>
                <w:szCs w:val="20"/>
              </w:rPr>
              <w:t>λλες εκδηλώσεις)</w:t>
            </w:r>
          </w:p>
        </w:tc>
      </w:tr>
      <w:tr w:rsidR="0073249F" w:rsidRPr="00DD060F" w:rsidTr="00CB2CDF">
        <w:trPr>
          <w:trHeight w:val="259"/>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96.09.19.17</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τρυπήματος δέρματος του σώματος (piercing)</w:t>
            </w:r>
          </w:p>
        </w:tc>
      </w:tr>
      <w:tr w:rsidR="0073249F" w:rsidRPr="00DD060F" w:rsidTr="00CB2CDF">
        <w:trPr>
          <w:trHeight w:val="78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w:t>
            </w:r>
          </w:p>
        </w:tc>
      </w:tr>
    </w:tbl>
    <w:p w:rsidR="0073249F" w:rsidRPr="00195057" w:rsidRDefault="0073249F" w:rsidP="0073249F">
      <w:pPr>
        <w:spacing w:after="0" w:line="240" w:lineRule="auto"/>
        <w:jc w:val="both"/>
        <w:rPr>
          <w:rFonts w:cstheme="minorHAnsi"/>
          <w:sz w:val="20"/>
          <w:szCs w:val="20"/>
        </w:rPr>
      </w:pPr>
    </w:p>
    <w:p w:rsidR="0073249F" w:rsidRDefault="0073249F" w:rsidP="0073249F">
      <w:pPr>
        <w:spacing w:after="0"/>
        <w:jc w:val="center"/>
        <w:rPr>
          <w:rFonts w:cstheme="minorHAnsi"/>
          <w:b/>
        </w:rPr>
      </w:pPr>
    </w:p>
    <w:p w:rsidR="00B102CC" w:rsidRDefault="00B102CC" w:rsidP="00B102CC">
      <w:pPr>
        <w:spacing w:before="60"/>
        <w:jc w:val="both"/>
        <w:rPr>
          <w:rFonts w:cstheme="minorHAnsi"/>
        </w:rPr>
      </w:pPr>
      <w:r>
        <w:rPr>
          <w:rFonts w:cstheme="minorHAnsi"/>
        </w:rPr>
        <w:t xml:space="preserve">Από </w:t>
      </w:r>
      <w:r w:rsidRPr="00B102CC">
        <w:rPr>
          <w:rFonts w:cstheme="minorHAnsi"/>
          <w:b/>
        </w:rPr>
        <w:t>5/4/2021</w:t>
      </w:r>
      <w:r>
        <w:rPr>
          <w:rFonts w:cstheme="minorHAnsi"/>
        </w:rPr>
        <w:t xml:space="preserve"> οι ακόλουθοι ΚΑΔ </w:t>
      </w:r>
      <w:r w:rsidRPr="00B102CC">
        <w:rPr>
          <w:rFonts w:cstheme="minorHAnsi"/>
          <w:b/>
        </w:rPr>
        <w:t>επαναλειτουργούν και πλήττονται σε όλη την Επικράτεια</w:t>
      </w:r>
      <w:r>
        <w:rPr>
          <w:rFonts w:cstheme="minorHAnsi"/>
        </w:rPr>
        <w:t xml:space="preserve">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B102CC" w:rsidRPr="00325F33" w:rsidTr="007F616E">
        <w:trPr>
          <w:trHeight w:val="290"/>
        </w:trPr>
        <w:tc>
          <w:tcPr>
            <w:tcW w:w="1179" w:type="dxa"/>
            <w:shd w:val="clear" w:color="auto" w:fill="auto"/>
            <w:noWrap/>
            <w:hideMark/>
          </w:tcPr>
          <w:p w:rsidR="00B102CC" w:rsidRPr="00325F33" w:rsidRDefault="00B102CC" w:rsidP="007F616E">
            <w:pPr>
              <w:spacing w:after="0" w:line="240" w:lineRule="auto"/>
              <w:rPr>
                <w:rFonts w:cstheme="minorHAnsi"/>
                <w:color w:val="000000"/>
                <w:sz w:val="20"/>
                <w:szCs w:val="20"/>
              </w:rPr>
            </w:pPr>
            <w:r w:rsidRPr="00325F33">
              <w:rPr>
                <w:rFonts w:cstheme="minorHAnsi"/>
                <w:color w:val="000000"/>
                <w:sz w:val="20"/>
                <w:szCs w:val="20"/>
              </w:rPr>
              <w:t>47.89</w:t>
            </w:r>
          </w:p>
        </w:tc>
        <w:tc>
          <w:tcPr>
            <w:tcW w:w="7043" w:type="dxa"/>
            <w:shd w:val="clear" w:color="auto" w:fill="auto"/>
            <w:noWrap/>
            <w:hideMark/>
          </w:tcPr>
          <w:p w:rsidR="00B102CC" w:rsidRPr="00325F33" w:rsidRDefault="00B102CC" w:rsidP="007F616E">
            <w:pPr>
              <w:spacing w:after="0" w:line="240" w:lineRule="auto"/>
              <w:jc w:val="both"/>
              <w:rPr>
                <w:rFonts w:cstheme="minorHAnsi"/>
                <w:color w:val="000000"/>
                <w:sz w:val="20"/>
                <w:szCs w:val="20"/>
              </w:rPr>
            </w:pPr>
            <w:r w:rsidRPr="00325F33">
              <w:rPr>
                <w:rFonts w:cstheme="minorHAnsi"/>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 καθώς και της πώλησης των προϊόντων από τις λαϊκές αγορές (συμπεριλαμβανομένων και των βιολογικών αγορών)</w:t>
            </w:r>
            <w:r>
              <w:rPr>
                <w:rFonts w:cstheme="minorHAnsi"/>
                <w:color w:val="000000"/>
                <w:sz w:val="20"/>
                <w:szCs w:val="20"/>
              </w:rPr>
              <w:t xml:space="preserve">. </w:t>
            </w:r>
            <w:r w:rsidRPr="006E3161">
              <w:rPr>
                <w:rFonts w:cstheme="minorHAnsi"/>
                <w:b/>
                <w:sz w:val="20"/>
                <w:szCs w:val="20"/>
              </w:rPr>
              <w:t>Ο ΚΑΔ επαναλειτουργεί και πλήττεται από 5/4/2021.</w:t>
            </w:r>
          </w:p>
        </w:tc>
      </w:tr>
      <w:tr w:rsidR="00B102CC" w:rsidRPr="00B36B0B" w:rsidTr="007F616E">
        <w:trPr>
          <w:trHeight w:val="290"/>
        </w:trPr>
        <w:tc>
          <w:tcPr>
            <w:tcW w:w="1179" w:type="dxa"/>
            <w:shd w:val="clear" w:color="auto" w:fill="auto"/>
            <w:noWrap/>
          </w:tcPr>
          <w:p w:rsidR="00B102CC" w:rsidRPr="00B36B0B" w:rsidRDefault="00B102CC" w:rsidP="007F616E">
            <w:pPr>
              <w:spacing w:after="0" w:line="240" w:lineRule="auto"/>
              <w:jc w:val="both"/>
              <w:rPr>
                <w:rFonts w:cstheme="minorHAnsi"/>
                <w:color w:val="000000"/>
                <w:sz w:val="20"/>
                <w:szCs w:val="20"/>
              </w:rPr>
            </w:pPr>
            <w:r w:rsidRPr="00B36B0B">
              <w:rPr>
                <w:rFonts w:cstheme="minorHAnsi"/>
                <w:color w:val="000000"/>
                <w:sz w:val="20"/>
                <w:szCs w:val="20"/>
              </w:rPr>
              <w:t>47.99</w:t>
            </w:r>
          </w:p>
        </w:tc>
        <w:tc>
          <w:tcPr>
            <w:tcW w:w="7043" w:type="dxa"/>
            <w:shd w:val="clear" w:color="auto" w:fill="auto"/>
            <w:noWrap/>
          </w:tcPr>
          <w:p w:rsidR="00B102CC" w:rsidRPr="00B36B0B" w:rsidRDefault="00B102CC" w:rsidP="007F616E">
            <w:pPr>
              <w:spacing w:after="0" w:line="240" w:lineRule="auto"/>
              <w:jc w:val="both"/>
              <w:rPr>
                <w:rFonts w:cstheme="minorHAnsi"/>
                <w:color w:val="000000"/>
                <w:sz w:val="20"/>
                <w:szCs w:val="20"/>
              </w:rPr>
            </w:pPr>
            <w:r w:rsidRPr="00B36B0B">
              <w:rPr>
                <w:rFonts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w:t>
            </w:r>
            <w:r w:rsidRPr="0070672E">
              <w:rPr>
                <w:rFonts w:cstheme="minorHAnsi"/>
                <w:color w:val="000000"/>
                <w:sz w:val="20"/>
                <w:szCs w:val="20"/>
              </w:rPr>
              <w:t>μέσω αυτόματων πωλητών</w:t>
            </w:r>
            <w:r>
              <w:rPr>
                <w:rFonts w:cstheme="minorHAnsi"/>
                <w:color w:val="000000"/>
                <w:sz w:val="20"/>
                <w:szCs w:val="20"/>
              </w:rPr>
              <w:t xml:space="preserve"> </w:t>
            </w:r>
            <w:r w:rsidRPr="00B36B0B">
              <w:rPr>
                <w:rFonts w:cstheme="minorHAnsi"/>
                <w:color w:val="000000"/>
                <w:sz w:val="20"/>
                <w:szCs w:val="20"/>
              </w:rPr>
              <w:t>(ΚΑΔ 47.99.17.01)</w:t>
            </w:r>
            <w:r w:rsidRPr="0070672E">
              <w:rPr>
                <w:rFonts w:cstheme="minorHAnsi"/>
                <w:color w:val="000000"/>
                <w:sz w:val="20"/>
                <w:szCs w:val="20"/>
              </w:rPr>
              <w:t xml:space="preserve"> </w:t>
            </w:r>
            <w:r w:rsidRPr="00325F33">
              <w:rPr>
                <w:rFonts w:cstheme="minorHAnsi"/>
                <w:color w:val="000000"/>
                <w:sz w:val="20"/>
                <w:szCs w:val="20"/>
              </w:rPr>
              <w:t>και της πώλησης των προϊόντων από τις λαϊκές αγορές (συμπεριλαμβανομένων και των βιολογικών αγορών)</w:t>
            </w:r>
            <w:r>
              <w:rPr>
                <w:rFonts w:cstheme="minorHAnsi"/>
                <w:color w:val="000000"/>
                <w:sz w:val="20"/>
                <w:szCs w:val="20"/>
              </w:rPr>
              <w:t>.</w:t>
            </w:r>
            <w:r w:rsidRPr="006E3161">
              <w:rPr>
                <w:rFonts w:cstheme="minorHAnsi"/>
                <w:b/>
                <w:sz w:val="20"/>
                <w:szCs w:val="20"/>
              </w:rPr>
              <w:t xml:space="preserve"> Ο ΚΑΔ </w:t>
            </w:r>
            <w:r w:rsidR="00B85B9E">
              <w:rPr>
                <w:rFonts w:cstheme="minorHAnsi"/>
                <w:b/>
                <w:sz w:val="20"/>
                <w:szCs w:val="20"/>
              </w:rPr>
              <w:t xml:space="preserve">47.99 </w:t>
            </w:r>
            <w:r w:rsidRPr="006E3161">
              <w:rPr>
                <w:rFonts w:cstheme="minorHAnsi"/>
                <w:b/>
                <w:sz w:val="20"/>
                <w:szCs w:val="20"/>
              </w:rPr>
              <w:t>επαναλειτουργεί και πλήττεται από 5/4/2021.</w:t>
            </w:r>
          </w:p>
        </w:tc>
      </w:tr>
    </w:tbl>
    <w:p w:rsidR="00B102CC" w:rsidRDefault="00B102CC" w:rsidP="0073249F">
      <w:pPr>
        <w:spacing w:after="0"/>
        <w:jc w:val="center"/>
        <w:rPr>
          <w:rFonts w:cstheme="minorHAnsi"/>
          <w:b/>
        </w:rPr>
      </w:pPr>
    </w:p>
    <w:p w:rsidR="00B102CC" w:rsidRDefault="00B102CC" w:rsidP="0073249F">
      <w:pPr>
        <w:spacing w:after="0"/>
        <w:jc w:val="center"/>
        <w:rPr>
          <w:rFonts w:cstheme="minorHAnsi"/>
          <w:b/>
        </w:rPr>
      </w:pPr>
    </w:p>
    <w:p w:rsidR="0073249F" w:rsidRPr="00B356AB" w:rsidRDefault="0073249F" w:rsidP="0073249F">
      <w:pPr>
        <w:spacing w:after="0"/>
        <w:jc w:val="center"/>
        <w:rPr>
          <w:rFonts w:cstheme="minorHAnsi"/>
          <w:b/>
        </w:rPr>
      </w:pPr>
      <w:r w:rsidRPr="00884129">
        <w:rPr>
          <w:rFonts w:cstheme="minorHAnsi"/>
          <w:b/>
        </w:rPr>
        <w:t>ΠΑΡΑΡΤΗΜΑ Β</w:t>
      </w:r>
      <w:r w:rsidRPr="00DD060F">
        <w:rPr>
          <w:rFonts w:cstheme="minorHAnsi"/>
          <w:b/>
        </w:rPr>
        <w:t>1</w:t>
      </w:r>
      <w:r w:rsidRPr="00884129">
        <w:rPr>
          <w:rFonts w:cstheme="minorHAnsi"/>
          <w:b/>
        </w:rPr>
        <w:t xml:space="preserve">. : ΠΙΝΑΚΑΣ ΚΩΔΙΚΩΝ ΑΡΙΘΜΩΝ ΔΡΑΣΤΗΡΙΟΤΗΤΑΣ ΤΩΝ ΟΠΟΙΩΝ ΑΝΑΣΤΕΛΛΕΤΑΙ Η ΛΕΙΤΟΥΡΓΙΑ ΜΕ ΕΝΤΟΛΗ ΔΗΜΟΣΙΑΣ ΑΡΧΗΣ ΣΕ </w:t>
      </w:r>
      <w:r w:rsidRPr="00884129">
        <w:rPr>
          <w:b/>
        </w:rPr>
        <w:t xml:space="preserve">ΠΕΡΙΟΧΕΣ ΠΟΥ ΥΠΑΓΟΝΤΑΙ ΣΕ ΕΠΙΠΕΔΟ </w:t>
      </w:r>
      <w:r w:rsidRPr="00B356AB">
        <w:rPr>
          <w:b/>
        </w:rPr>
        <w:t>ΕΠΙΔΗΜΙΟΛΟΓΙΚΗΣ ΕΠΙΒΑΡΥΝΣΗΣ ΠΟΛΥ ΑΥΞΗΜΕΝΟΥ ΚΙΝΔΥΝΟΥ</w:t>
      </w:r>
      <w:r w:rsidRPr="00B356AB">
        <w:rPr>
          <w:rFonts w:cstheme="minorHAnsi"/>
          <w:b/>
        </w:rPr>
        <w:t xml:space="preserve"> </w:t>
      </w:r>
    </w:p>
    <w:p w:rsidR="0073249F" w:rsidRPr="00DD060F" w:rsidRDefault="0073249F" w:rsidP="0073249F">
      <w:pPr>
        <w:spacing w:after="0"/>
        <w:jc w:val="center"/>
        <w:rPr>
          <w:rFonts w:cstheme="minorHAnsi"/>
          <w:b/>
        </w:rPr>
      </w:pPr>
      <w:r w:rsidRPr="00B356AB">
        <w:rPr>
          <w:rFonts w:cstheme="minorHAnsi"/>
          <w:b/>
        </w:rPr>
        <w:t>ΑΠΟ 5/4/2021</w:t>
      </w:r>
      <w:r>
        <w:rPr>
          <w:rFonts w:cstheme="minorHAnsi"/>
          <w:b/>
        </w:rPr>
        <w:t xml:space="preserve"> </w:t>
      </w:r>
    </w:p>
    <w:p w:rsidR="0073249F" w:rsidRPr="000E69C9" w:rsidRDefault="0073249F" w:rsidP="0073249F">
      <w:pPr>
        <w:spacing w:after="0"/>
        <w:ind w:hanging="709"/>
        <w:jc w:val="both"/>
        <w:rPr>
          <w:rFonts w:cstheme="minorHAnsi"/>
          <w:bCs/>
        </w:rPr>
      </w:pPr>
    </w:p>
    <w:p w:rsidR="0073249F" w:rsidRPr="000E69C9" w:rsidRDefault="0073249F" w:rsidP="0073249F">
      <w:pPr>
        <w:spacing w:after="0"/>
        <w:jc w:val="both"/>
        <w:rPr>
          <w:rFonts w:cstheme="minorHAnsi"/>
          <w:bCs/>
        </w:rPr>
      </w:pPr>
      <w:r w:rsidRPr="000E69C9">
        <w:rPr>
          <w:rFonts w:cstheme="minorHAnsi"/>
          <w:bCs/>
        </w:rPr>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p w:rsidR="0073249F" w:rsidRDefault="0073249F" w:rsidP="0073249F">
      <w:pPr>
        <w:spacing w:after="0"/>
        <w:jc w:val="center"/>
        <w:rPr>
          <w:rFonts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73249F" w:rsidRPr="004B29B7" w:rsidTr="0061352E">
        <w:trPr>
          <w:trHeight w:val="290"/>
        </w:trPr>
        <w:tc>
          <w:tcPr>
            <w:tcW w:w="1179" w:type="dxa"/>
            <w:shd w:val="clear" w:color="auto" w:fill="auto"/>
            <w:noWrap/>
            <w:vAlign w:val="bottom"/>
            <w:hideMark/>
          </w:tcPr>
          <w:p w:rsidR="0073249F" w:rsidRPr="004B29B7" w:rsidRDefault="0073249F" w:rsidP="0061352E">
            <w:pPr>
              <w:spacing w:after="0" w:line="240" w:lineRule="auto"/>
              <w:jc w:val="center"/>
              <w:rPr>
                <w:rFonts w:cstheme="minorHAnsi"/>
                <w:b/>
                <w:bCs/>
                <w:color w:val="000000"/>
                <w:sz w:val="20"/>
                <w:szCs w:val="20"/>
              </w:rPr>
            </w:pPr>
          </w:p>
          <w:p w:rsidR="0073249F" w:rsidRPr="004B29B7" w:rsidRDefault="0073249F" w:rsidP="0061352E">
            <w:pPr>
              <w:spacing w:after="0" w:line="240" w:lineRule="auto"/>
              <w:rPr>
                <w:rFonts w:cstheme="minorHAnsi"/>
                <w:b/>
                <w:bCs/>
                <w:color w:val="000000"/>
                <w:sz w:val="20"/>
                <w:szCs w:val="20"/>
              </w:rPr>
            </w:pPr>
            <w:r w:rsidRPr="004B29B7">
              <w:rPr>
                <w:rFonts w:cstheme="minorHAnsi"/>
                <w:b/>
                <w:bCs/>
                <w:color w:val="000000"/>
                <w:sz w:val="20"/>
                <w:szCs w:val="20"/>
              </w:rPr>
              <w:t>ΚΑΔ</w:t>
            </w:r>
          </w:p>
        </w:tc>
        <w:tc>
          <w:tcPr>
            <w:tcW w:w="7043" w:type="dxa"/>
            <w:shd w:val="clear" w:color="auto" w:fill="auto"/>
            <w:noWrap/>
            <w:vAlign w:val="bottom"/>
            <w:hideMark/>
          </w:tcPr>
          <w:p w:rsidR="0073249F" w:rsidRPr="004B29B7" w:rsidRDefault="0073249F" w:rsidP="0061352E">
            <w:pPr>
              <w:spacing w:after="0" w:line="240" w:lineRule="auto"/>
              <w:jc w:val="both"/>
              <w:rPr>
                <w:rFonts w:cstheme="minorHAnsi"/>
                <w:b/>
                <w:bCs/>
                <w:color w:val="000000"/>
                <w:sz w:val="20"/>
                <w:szCs w:val="20"/>
              </w:rPr>
            </w:pPr>
            <w:r w:rsidRPr="004B29B7">
              <w:rPr>
                <w:rFonts w:cstheme="minorHAnsi"/>
                <w:b/>
                <w:bCs/>
                <w:color w:val="000000"/>
                <w:sz w:val="20"/>
                <w:szCs w:val="20"/>
              </w:rPr>
              <w:t>ΚΛΑΔΟΣ</w:t>
            </w:r>
          </w:p>
        </w:tc>
      </w:tr>
      <w:tr w:rsidR="0073249F" w:rsidRPr="004B29B7" w:rsidTr="0061352E">
        <w:trPr>
          <w:trHeight w:val="290"/>
        </w:trPr>
        <w:tc>
          <w:tcPr>
            <w:tcW w:w="1179" w:type="dxa"/>
            <w:shd w:val="clear" w:color="auto" w:fill="auto"/>
            <w:noWrap/>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t>86.90.13.02</w:t>
            </w:r>
          </w:p>
        </w:tc>
        <w:tc>
          <w:tcPr>
            <w:tcW w:w="7043" w:type="dxa"/>
            <w:shd w:val="clear" w:color="auto" w:fill="auto"/>
            <w:noWrap/>
          </w:tcPr>
          <w:p w:rsidR="0073249F" w:rsidRPr="004B29B7" w:rsidRDefault="0073249F" w:rsidP="0061352E">
            <w:pPr>
              <w:spacing w:after="0" w:line="240" w:lineRule="auto"/>
              <w:jc w:val="both"/>
              <w:rPr>
                <w:rFonts w:cstheme="minorHAnsi"/>
                <w:sz w:val="20"/>
                <w:szCs w:val="20"/>
              </w:rPr>
            </w:pPr>
            <w:r w:rsidRPr="004B29B7">
              <w:rPr>
                <w:sz w:val="20"/>
                <w:szCs w:val="20"/>
              </w:rPr>
              <w:t>Υπηρεσίες μαλάκτη (μασέρ), εξαιρουμένων των υπηρεσιών που προσφέρονται εντός των κέντρων φυσικοθεραπείας και των μονάδων υγείας</w:t>
            </w:r>
          </w:p>
        </w:tc>
      </w:tr>
      <w:tr w:rsidR="0073249F" w:rsidRPr="004B29B7" w:rsidTr="0061352E">
        <w:trPr>
          <w:trHeight w:val="290"/>
        </w:trPr>
        <w:tc>
          <w:tcPr>
            <w:tcW w:w="1179" w:type="dxa"/>
            <w:shd w:val="clear" w:color="auto" w:fill="auto"/>
            <w:noWrap/>
          </w:tcPr>
          <w:p w:rsidR="0073249F" w:rsidRPr="004B29B7" w:rsidRDefault="0073249F" w:rsidP="0061352E">
            <w:pPr>
              <w:spacing w:after="0" w:line="240" w:lineRule="auto"/>
              <w:jc w:val="both"/>
              <w:rPr>
                <w:rFonts w:cstheme="minorHAnsi"/>
                <w:color w:val="000000"/>
                <w:sz w:val="20"/>
                <w:szCs w:val="20"/>
              </w:rPr>
            </w:pPr>
            <w:r w:rsidRPr="004B29B7">
              <w:rPr>
                <w:rFonts w:cstheme="minorHAnsi"/>
                <w:color w:val="000000"/>
                <w:sz w:val="20"/>
                <w:szCs w:val="20"/>
              </w:rPr>
              <w:t>86.90.19.03</w:t>
            </w:r>
          </w:p>
        </w:tc>
        <w:tc>
          <w:tcPr>
            <w:tcW w:w="7043" w:type="dxa"/>
            <w:shd w:val="clear" w:color="auto" w:fill="auto"/>
            <w:noWrap/>
          </w:tcPr>
          <w:p w:rsidR="0073249F" w:rsidRPr="004B29B7" w:rsidRDefault="0073249F" w:rsidP="0061352E">
            <w:pPr>
              <w:spacing w:after="0" w:line="240" w:lineRule="auto"/>
              <w:jc w:val="both"/>
              <w:rPr>
                <w:rFonts w:cstheme="minorHAnsi"/>
                <w:color w:val="000000"/>
                <w:sz w:val="20"/>
                <w:szCs w:val="20"/>
              </w:rPr>
            </w:pPr>
            <w:r w:rsidRPr="004B29B7">
              <w:rPr>
                <w:rFonts w:cstheme="minorHAnsi"/>
                <w:color w:val="000000"/>
                <w:sz w:val="20"/>
                <w:szCs w:val="20"/>
              </w:rPr>
              <w:t>Υπηρεσίες εναλλακτικών θεραπειών</w:t>
            </w:r>
          </w:p>
        </w:tc>
      </w:tr>
      <w:tr w:rsidR="0073249F" w:rsidRPr="004B29B7" w:rsidTr="0061352E">
        <w:trPr>
          <w:trHeight w:val="290"/>
        </w:trPr>
        <w:tc>
          <w:tcPr>
            <w:tcW w:w="1179"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t>96.02</w:t>
            </w:r>
          </w:p>
        </w:tc>
        <w:tc>
          <w:tcPr>
            <w:tcW w:w="7043"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sz w:val="20"/>
                <w:szCs w:val="20"/>
              </w:rPr>
              <w:t xml:space="preserve">Δραστηριότητες κομμωτηρίων και κουρείων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w:t>
            </w:r>
            <w:r w:rsidRPr="004B29B7">
              <w:rPr>
                <w:sz w:val="20"/>
                <w:szCs w:val="20"/>
              </w:rPr>
              <w:lastRenderedPageBreak/>
              <w:t>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μανικιούρ, πεντικιούρ (ΚΑΔ 96.02.13.04) και υπηρεσιών ποδολογίας και καλλωπισμού νυχιών (ΚΑΔ 96.02.13.05)</w:t>
            </w:r>
          </w:p>
        </w:tc>
      </w:tr>
      <w:tr w:rsidR="0073249F" w:rsidRPr="004B29B7" w:rsidTr="0061352E">
        <w:trPr>
          <w:trHeight w:val="290"/>
        </w:trPr>
        <w:tc>
          <w:tcPr>
            <w:tcW w:w="1179"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lastRenderedPageBreak/>
              <w:t>96.04</w:t>
            </w:r>
          </w:p>
        </w:tc>
        <w:tc>
          <w:tcPr>
            <w:tcW w:w="7043"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sz w:val="20"/>
                <w:szCs w:val="20"/>
              </w:rPr>
              <w:t>Δραστηριότητες σχετικές με τη φυσική ευεξία εξαιρουμένης της εξ αποστάσεως συμβουλευτικής</w:t>
            </w:r>
          </w:p>
        </w:tc>
      </w:tr>
    </w:tbl>
    <w:p w:rsidR="0073249F" w:rsidRDefault="0073249F" w:rsidP="0073249F">
      <w:pPr>
        <w:spacing w:before="60"/>
        <w:jc w:val="both"/>
        <w:rPr>
          <w:rFonts w:cstheme="minorHAnsi"/>
        </w:rPr>
      </w:pPr>
    </w:p>
    <w:p w:rsidR="00C71B25" w:rsidRDefault="00C71B25"/>
    <w:p w:rsidR="00C71B25" w:rsidRDefault="00C71B25"/>
    <w:sectPr w:rsidR="00C71B25" w:rsidSect="003948C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9D6" w:rsidRDefault="006409D6" w:rsidP="0073249F">
      <w:pPr>
        <w:spacing w:after="0" w:line="240" w:lineRule="auto"/>
      </w:pPr>
      <w:r>
        <w:separator/>
      </w:r>
    </w:p>
  </w:endnote>
  <w:endnote w:type="continuationSeparator" w:id="0">
    <w:p w:rsidR="006409D6" w:rsidRDefault="006409D6" w:rsidP="00732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91150"/>
      <w:docPartObj>
        <w:docPartGallery w:val="Page Numbers (Bottom of Page)"/>
        <w:docPartUnique/>
      </w:docPartObj>
    </w:sdtPr>
    <w:sdtContent>
      <w:p w:rsidR="00291056" w:rsidRDefault="007753CA">
        <w:pPr>
          <w:pStyle w:val="a6"/>
          <w:jc w:val="right"/>
        </w:pPr>
        <w:fldSimple w:instr=" PAGE   \* MERGEFORMAT ">
          <w:r w:rsidR="00A73189">
            <w:rPr>
              <w:noProof/>
            </w:rPr>
            <w:t>7</w:t>
          </w:r>
        </w:fldSimple>
      </w:p>
    </w:sdtContent>
  </w:sdt>
  <w:p w:rsidR="00291056" w:rsidRDefault="002910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9D6" w:rsidRDefault="006409D6" w:rsidP="0073249F">
      <w:pPr>
        <w:spacing w:after="0" w:line="240" w:lineRule="auto"/>
      </w:pPr>
      <w:r>
        <w:separator/>
      </w:r>
    </w:p>
  </w:footnote>
  <w:footnote w:type="continuationSeparator" w:id="0">
    <w:p w:rsidR="006409D6" w:rsidRDefault="006409D6" w:rsidP="007324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1642D"/>
    <w:multiLevelType w:val="hybridMultilevel"/>
    <w:tmpl w:val="9D704720"/>
    <w:lvl w:ilvl="0" w:tplc="A3CAF60A">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6DE4FF7"/>
    <w:multiLevelType w:val="hybridMultilevel"/>
    <w:tmpl w:val="2C0A02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71B25"/>
    <w:rsid w:val="00021DC5"/>
    <w:rsid w:val="00107218"/>
    <w:rsid w:val="00120B5B"/>
    <w:rsid w:val="00125105"/>
    <w:rsid w:val="001F2F09"/>
    <w:rsid w:val="001F453D"/>
    <w:rsid w:val="00255B9D"/>
    <w:rsid w:val="00291056"/>
    <w:rsid w:val="002D5798"/>
    <w:rsid w:val="003948C8"/>
    <w:rsid w:val="00395D8B"/>
    <w:rsid w:val="004B29B7"/>
    <w:rsid w:val="005D0AD2"/>
    <w:rsid w:val="005D618A"/>
    <w:rsid w:val="0061352E"/>
    <w:rsid w:val="00622BE8"/>
    <w:rsid w:val="00630690"/>
    <w:rsid w:val="006409D6"/>
    <w:rsid w:val="00673228"/>
    <w:rsid w:val="00694F3F"/>
    <w:rsid w:val="006A6457"/>
    <w:rsid w:val="006C3CEA"/>
    <w:rsid w:val="006D69DF"/>
    <w:rsid w:val="00711322"/>
    <w:rsid w:val="0073249F"/>
    <w:rsid w:val="00734204"/>
    <w:rsid w:val="007508C1"/>
    <w:rsid w:val="007753CA"/>
    <w:rsid w:val="007753DC"/>
    <w:rsid w:val="00777ED0"/>
    <w:rsid w:val="007911F0"/>
    <w:rsid w:val="007A4805"/>
    <w:rsid w:val="007D71CB"/>
    <w:rsid w:val="00876BCD"/>
    <w:rsid w:val="00882934"/>
    <w:rsid w:val="00896C4A"/>
    <w:rsid w:val="008B5759"/>
    <w:rsid w:val="008D5062"/>
    <w:rsid w:val="00902FAB"/>
    <w:rsid w:val="009553C8"/>
    <w:rsid w:val="009B1125"/>
    <w:rsid w:val="009F0E44"/>
    <w:rsid w:val="00A37124"/>
    <w:rsid w:val="00A505CC"/>
    <w:rsid w:val="00A57BC0"/>
    <w:rsid w:val="00A73189"/>
    <w:rsid w:val="00AA05DB"/>
    <w:rsid w:val="00B06226"/>
    <w:rsid w:val="00B102CC"/>
    <w:rsid w:val="00B1035F"/>
    <w:rsid w:val="00B356AB"/>
    <w:rsid w:val="00B85B9E"/>
    <w:rsid w:val="00BA6949"/>
    <w:rsid w:val="00BB096E"/>
    <w:rsid w:val="00C06EE3"/>
    <w:rsid w:val="00C117CF"/>
    <w:rsid w:val="00C514F2"/>
    <w:rsid w:val="00C71B25"/>
    <w:rsid w:val="00C72FDB"/>
    <w:rsid w:val="00CB2CDF"/>
    <w:rsid w:val="00CF3630"/>
    <w:rsid w:val="00D976A3"/>
    <w:rsid w:val="00DA3871"/>
    <w:rsid w:val="00DC72C6"/>
    <w:rsid w:val="00DE66EC"/>
    <w:rsid w:val="00EE0455"/>
    <w:rsid w:val="00F34600"/>
    <w:rsid w:val="00F87192"/>
    <w:rsid w:val="00FA07A3"/>
    <w:rsid w:val="00FC0A94"/>
    <w:rsid w:val="00FC0C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1B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71B25"/>
    <w:rPr>
      <w:rFonts w:ascii="Tahoma" w:hAnsi="Tahoma" w:cs="Tahoma"/>
      <w:sz w:val="16"/>
      <w:szCs w:val="16"/>
    </w:rPr>
  </w:style>
  <w:style w:type="paragraph" w:styleId="a4">
    <w:name w:val="List Paragraph"/>
    <w:basedOn w:val="a"/>
    <w:link w:val="Char0"/>
    <w:uiPriority w:val="34"/>
    <w:qFormat/>
    <w:rsid w:val="00C71B25"/>
    <w:pPr>
      <w:ind w:left="720"/>
      <w:contextualSpacing/>
    </w:pPr>
    <w:rPr>
      <w:rFonts w:ascii="Calibri" w:eastAsia="Times New Roman" w:hAnsi="Calibri" w:cs="Times New Roman"/>
      <w:lang w:eastAsia="el-GR"/>
    </w:rPr>
  </w:style>
  <w:style w:type="character" w:customStyle="1" w:styleId="Char0">
    <w:name w:val="Παράγραφος λίστας Char"/>
    <w:link w:val="a4"/>
    <w:uiPriority w:val="34"/>
    <w:rsid w:val="00C71B25"/>
    <w:rPr>
      <w:rFonts w:ascii="Calibri" w:eastAsia="Times New Roman" w:hAnsi="Calibri" w:cs="Times New Roman"/>
      <w:lang w:eastAsia="el-GR"/>
    </w:rPr>
  </w:style>
  <w:style w:type="paragraph" w:styleId="a5">
    <w:name w:val="header"/>
    <w:basedOn w:val="a"/>
    <w:link w:val="Char1"/>
    <w:uiPriority w:val="99"/>
    <w:semiHidden/>
    <w:unhideWhenUsed/>
    <w:rsid w:val="0073249F"/>
    <w:pPr>
      <w:tabs>
        <w:tab w:val="center" w:pos="4153"/>
        <w:tab w:val="right" w:pos="8306"/>
      </w:tabs>
      <w:spacing w:after="0" w:line="240" w:lineRule="auto"/>
    </w:pPr>
  </w:style>
  <w:style w:type="character" w:customStyle="1" w:styleId="Char1">
    <w:name w:val="Κεφαλίδα Char"/>
    <w:basedOn w:val="a0"/>
    <w:link w:val="a5"/>
    <w:uiPriority w:val="99"/>
    <w:semiHidden/>
    <w:rsid w:val="0073249F"/>
  </w:style>
  <w:style w:type="paragraph" w:styleId="a6">
    <w:name w:val="footer"/>
    <w:basedOn w:val="a"/>
    <w:link w:val="Char2"/>
    <w:uiPriority w:val="99"/>
    <w:unhideWhenUsed/>
    <w:rsid w:val="0073249F"/>
    <w:pPr>
      <w:tabs>
        <w:tab w:val="center" w:pos="4153"/>
        <w:tab w:val="right" w:pos="8306"/>
      </w:tabs>
      <w:spacing w:after="0" w:line="240" w:lineRule="auto"/>
    </w:pPr>
  </w:style>
  <w:style w:type="character" w:customStyle="1" w:styleId="Char2">
    <w:name w:val="Υποσέλιδο Char"/>
    <w:basedOn w:val="a0"/>
    <w:link w:val="a6"/>
    <w:uiPriority w:val="99"/>
    <w:rsid w:val="007324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4576</Words>
  <Characters>24711</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user1-Ypourgos</cp:lastModifiedBy>
  <cp:revision>14</cp:revision>
  <dcterms:created xsi:type="dcterms:W3CDTF">2021-04-08T08:31:00Z</dcterms:created>
  <dcterms:modified xsi:type="dcterms:W3CDTF">2021-04-08T11:24:00Z</dcterms:modified>
</cp:coreProperties>
</file>